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1B" w:rsidRPr="00DD0AAD" w:rsidRDefault="0010331B" w:rsidP="0010331B">
      <w:pPr>
        <w:rPr>
          <w:b/>
          <w:bCs/>
          <w:sz w:val="24"/>
          <w:szCs w:val="24"/>
        </w:rPr>
      </w:pPr>
      <w:r w:rsidRPr="00DD0AAD">
        <w:rPr>
          <w:b/>
          <w:bCs/>
          <w:sz w:val="24"/>
          <w:szCs w:val="24"/>
        </w:rPr>
        <w:t>Fact Sheet:  Coding for Phone Calls</w:t>
      </w:r>
      <w:r>
        <w:rPr>
          <w:b/>
          <w:bCs/>
          <w:sz w:val="24"/>
          <w:szCs w:val="24"/>
        </w:rPr>
        <w:t xml:space="preserve">, </w:t>
      </w:r>
      <w:r w:rsidRPr="00DD0AAD">
        <w:rPr>
          <w:b/>
          <w:bCs/>
          <w:sz w:val="24"/>
          <w:szCs w:val="24"/>
        </w:rPr>
        <w:t>Internet Consultations</w:t>
      </w:r>
      <w:r>
        <w:rPr>
          <w:b/>
          <w:bCs/>
          <w:sz w:val="24"/>
          <w:szCs w:val="24"/>
        </w:rPr>
        <w:t xml:space="preserve"> and </w:t>
      </w:r>
      <w:proofErr w:type="spellStart"/>
      <w:r>
        <w:rPr>
          <w:b/>
          <w:bCs/>
          <w:sz w:val="24"/>
          <w:szCs w:val="24"/>
        </w:rPr>
        <w:t>Telehealth</w:t>
      </w:r>
      <w:proofErr w:type="spellEnd"/>
    </w:p>
    <w:p w:rsidR="0010331B" w:rsidRDefault="0010331B" w:rsidP="0010331B">
      <w:pPr>
        <w:rPr>
          <w:b/>
          <w:bCs/>
          <w:i/>
          <w:iCs/>
        </w:rPr>
      </w:pPr>
      <w:r>
        <w:tab/>
      </w:r>
      <w:r>
        <w:tab/>
      </w:r>
      <w:r>
        <w:tab/>
      </w:r>
      <w:r w:rsidRPr="00DD0AAD">
        <w:rPr>
          <w:b/>
          <w:bCs/>
          <w:i/>
          <w:iCs/>
        </w:rPr>
        <w:t xml:space="preserve">Created </w:t>
      </w:r>
      <w:r>
        <w:rPr>
          <w:b/>
          <w:bCs/>
          <w:i/>
          <w:iCs/>
        </w:rPr>
        <w:t xml:space="preserve">By AAO </w:t>
      </w:r>
      <w:r w:rsidRPr="00DD0AAD">
        <w:rPr>
          <w:b/>
          <w:bCs/>
          <w:i/>
          <w:iCs/>
        </w:rPr>
        <w:t>March</w:t>
      </w:r>
      <w:r>
        <w:rPr>
          <w:b/>
          <w:bCs/>
          <w:i/>
          <w:iCs/>
        </w:rPr>
        <w:t xml:space="preserve"> 12, </w:t>
      </w:r>
      <w:r w:rsidRPr="00DD0AAD">
        <w:rPr>
          <w:b/>
          <w:bCs/>
          <w:i/>
          <w:iCs/>
        </w:rPr>
        <w:t>2020</w:t>
      </w:r>
      <w:r>
        <w:rPr>
          <w:b/>
          <w:bCs/>
          <w:i/>
          <w:iCs/>
        </w:rPr>
        <w:t xml:space="preserve"> and distributed March 16, 2020</w:t>
      </w:r>
    </w:p>
    <w:p w:rsidR="0042494F" w:rsidRPr="0042494F" w:rsidRDefault="0042494F" w:rsidP="0042494F">
      <w:pPr>
        <w:rPr>
          <w:rFonts w:ascii="Times New Roman" w:eastAsia="Times New Roman" w:hAnsi="Times New Roman" w:cs="Times New Roman"/>
          <w:sz w:val="20"/>
          <w:szCs w:val="20"/>
        </w:rPr>
      </w:pPr>
      <w:r>
        <w:rPr>
          <w:b/>
          <w:bCs/>
          <w:i/>
          <w:iCs/>
          <w:color w:val="3366FF"/>
        </w:rPr>
        <w:t xml:space="preserve">This was adapted from an AAO/AAOE document. We were able to add additional codes.  PAO will continue to update as more information becomes available. </w:t>
      </w:r>
    </w:p>
    <w:p w:rsidR="0042494F" w:rsidRPr="0010331B" w:rsidRDefault="0042494F" w:rsidP="0010331B">
      <w:pPr>
        <w:rPr>
          <w:b/>
          <w:bCs/>
          <w:i/>
          <w:iCs/>
          <w:color w:val="3366FF"/>
        </w:rPr>
      </w:pPr>
      <w:r>
        <w:rPr>
          <w:b/>
          <w:bCs/>
          <w:i/>
          <w:iCs/>
          <w:color w:val="3366FF"/>
        </w:rPr>
        <w:t>C</w:t>
      </w:r>
      <w:r w:rsidR="0043157F">
        <w:rPr>
          <w:b/>
          <w:bCs/>
          <w:i/>
          <w:iCs/>
          <w:color w:val="3366FF"/>
        </w:rPr>
        <w:t xml:space="preserve">larifying </w:t>
      </w:r>
      <w:r w:rsidR="0010331B" w:rsidRPr="0010331B">
        <w:rPr>
          <w:b/>
          <w:bCs/>
          <w:i/>
          <w:iCs/>
          <w:color w:val="3366FF"/>
        </w:rPr>
        <w:t xml:space="preserve">notes </w:t>
      </w:r>
      <w:r>
        <w:rPr>
          <w:b/>
          <w:bCs/>
          <w:i/>
          <w:iCs/>
          <w:color w:val="3366FF"/>
        </w:rPr>
        <w:t xml:space="preserve">have been placed </w:t>
      </w:r>
      <w:r w:rsidR="00BC66BA">
        <w:rPr>
          <w:b/>
          <w:bCs/>
          <w:i/>
          <w:iCs/>
          <w:color w:val="3366FF"/>
        </w:rPr>
        <w:t>in</w:t>
      </w:r>
      <w:r w:rsidR="0010331B">
        <w:rPr>
          <w:b/>
          <w:bCs/>
          <w:i/>
          <w:iCs/>
          <w:color w:val="3366FF"/>
        </w:rPr>
        <w:t>,</w:t>
      </w:r>
      <w:r w:rsidR="0010331B" w:rsidRPr="0010331B">
        <w:rPr>
          <w:b/>
          <w:bCs/>
          <w:i/>
          <w:iCs/>
          <w:color w:val="3366FF"/>
        </w:rPr>
        <w:t xml:space="preserve"> which </w:t>
      </w:r>
      <w:r>
        <w:rPr>
          <w:b/>
          <w:bCs/>
          <w:i/>
          <w:iCs/>
          <w:color w:val="3366FF"/>
        </w:rPr>
        <w:t>we</w:t>
      </w:r>
      <w:r w:rsidR="0010331B" w:rsidRPr="0010331B">
        <w:rPr>
          <w:b/>
          <w:bCs/>
          <w:i/>
          <w:iCs/>
          <w:color w:val="3366FF"/>
        </w:rPr>
        <w:t xml:space="preserve"> hope will be helpful- David Silbert MD </w:t>
      </w:r>
      <w:proofErr w:type="gramStart"/>
      <w:r w:rsidR="0010331B" w:rsidRPr="0010331B">
        <w:rPr>
          <w:b/>
          <w:bCs/>
          <w:i/>
          <w:iCs/>
          <w:color w:val="3366FF"/>
        </w:rPr>
        <w:t>FAAP</w:t>
      </w:r>
      <w:r w:rsidR="00BC66BA">
        <w:rPr>
          <w:b/>
          <w:bCs/>
          <w:i/>
          <w:iCs/>
          <w:color w:val="3366FF"/>
        </w:rPr>
        <w:t xml:space="preserve">  March</w:t>
      </w:r>
      <w:proofErr w:type="gramEnd"/>
      <w:r w:rsidR="00BC66BA">
        <w:rPr>
          <w:b/>
          <w:bCs/>
          <w:i/>
          <w:iCs/>
          <w:color w:val="3366FF"/>
        </w:rPr>
        <w:t xml:space="preserve"> 16, 2020</w:t>
      </w:r>
    </w:p>
    <w:p w:rsidR="0010331B" w:rsidRPr="00407042" w:rsidRDefault="0010331B" w:rsidP="0010331B">
      <w:pPr>
        <w:rPr>
          <w:color w:val="FF0000"/>
          <w:sz w:val="20"/>
          <w:szCs w:val="20"/>
        </w:rPr>
      </w:pPr>
      <w:r w:rsidRPr="00407042">
        <w:rPr>
          <w:color w:val="FF0000"/>
          <w:sz w:val="20"/>
          <w:szCs w:val="20"/>
        </w:rPr>
        <w:t>Note:  Carriers update their policies frequently. Please check back often for new and additional information.</w:t>
      </w:r>
    </w:p>
    <w:p w:rsidR="0010331B" w:rsidRPr="00407042" w:rsidRDefault="0010331B" w:rsidP="0010331B">
      <w:pPr>
        <w:rPr>
          <w:sz w:val="20"/>
          <w:szCs w:val="20"/>
        </w:rPr>
      </w:pPr>
      <w:r w:rsidRPr="00407042">
        <w:rPr>
          <w:sz w:val="20"/>
          <w:szCs w:val="20"/>
        </w:rPr>
        <w:t xml:space="preserve">There are three options for </w:t>
      </w:r>
      <w:proofErr w:type="spellStart"/>
      <w:r w:rsidRPr="00407042">
        <w:rPr>
          <w:sz w:val="20"/>
          <w:szCs w:val="20"/>
        </w:rPr>
        <w:t>telehealth</w:t>
      </w:r>
      <w:proofErr w:type="spellEnd"/>
      <w:r w:rsidRPr="00407042">
        <w:rPr>
          <w:sz w:val="20"/>
          <w:szCs w:val="20"/>
        </w:rPr>
        <w:t xml:space="preserve"> and other communications-based technology services.</w:t>
      </w:r>
    </w:p>
    <w:p w:rsidR="0010331B" w:rsidRPr="00407042" w:rsidRDefault="0010331B" w:rsidP="0010331B">
      <w:pPr>
        <w:pStyle w:val="ListParagraph"/>
        <w:numPr>
          <w:ilvl w:val="0"/>
          <w:numId w:val="3"/>
        </w:numPr>
        <w:spacing w:after="160" w:line="259" w:lineRule="auto"/>
        <w:rPr>
          <w:b/>
          <w:bCs/>
          <w:sz w:val="20"/>
          <w:szCs w:val="20"/>
        </w:rPr>
      </w:pPr>
      <w:r w:rsidRPr="00407042">
        <w:rPr>
          <w:b/>
          <w:bCs/>
          <w:sz w:val="20"/>
          <w:szCs w:val="20"/>
        </w:rPr>
        <w:t>Telephone Calls</w:t>
      </w:r>
    </w:p>
    <w:tbl>
      <w:tblPr>
        <w:tblStyle w:val="TableGrid"/>
        <w:tblW w:w="0" w:type="auto"/>
        <w:tblLook w:val="04A0" w:firstRow="1" w:lastRow="0" w:firstColumn="1" w:lastColumn="0" w:noHBand="0" w:noVBand="1"/>
      </w:tblPr>
      <w:tblGrid>
        <w:gridCol w:w="1568"/>
        <w:gridCol w:w="1220"/>
        <w:gridCol w:w="6068"/>
      </w:tblGrid>
      <w:tr w:rsidR="0010331B" w:rsidRPr="00407042" w:rsidTr="0010331B">
        <w:tc>
          <w:tcPr>
            <w:tcW w:w="1686" w:type="dxa"/>
          </w:tcPr>
          <w:p w:rsidR="0010331B" w:rsidRPr="00407042" w:rsidRDefault="0010331B" w:rsidP="0010331B">
            <w:pPr>
              <w:rPr>
                <w:sz w:val="20"/>
                <w:szCs w:val="20"/>
              </w:rPr>
            </w:pPr>
            <w:r w:rsidRPr="00407042">
              <w:rPr>
                <w:sz w:val="20"/>
                <w:szCs w:val="20"/>
              </w:rPr>
              <w:t>Code</w:t>
            </w:r>
          </w:p>
        </w:tc>
        <w:tc>
          <w:tcPr>
            <w:tcW w:w="919" w:type="dxa"/>
          </w:tcPr>
          <w:p w:rsidR="0010331B" w:rsidRPr="00407042" w:rsidRDefault="0010331B" w:rsidP="0010331B">
            <w:pPr>
              <w:rPr>
                <w:sz w:val="20"/>
                <w:szCs w:val="20"/>
              </w:rPr>
            </w:pPr>
            <w:r w:rsidRPr="00407042">
              <w:rPr>
                <w:sz w:val="20"/>
                <w:szCs w:val="20"/>
              </w:rPr>
              <w:t>Value</w:t>
            </w:r>
          </w:p>
        </w:tc>
        <w:tc>
          <w:tcPr>
            <w:tcW w:w="6745" w:type="dxa"/>
          </w:tcPr>
          <w:p w:rsidR="0010331B" w:rsidRPr="00407042" w:rsidRDefault="0010331B" w:rsidP="0010331B">
            <w:pPr>
              <w:rPr>
                <w:sz w:val="20"/>
                <w:szCs w:val="20"/>
              </w:rPr>
            </w:pPr>
            <w:r w:rsidRPr="00407042">
              <w:rPr>
                <w:sz w:val="20"/>
                <w:szCs w:val="20"/>
              </w:rPr>
              <w:t>Description</w:t>
            </w:r>
          </w:p>
        </w:tc>
      </w:tr>
      <w:tr w:rsidR="0010331B" w:rsidRPr="00407042" w:rsidTr="0010331B">
        <w:tc>
          <w:tcPr>
            <w:tcW w:w="1686" w:type="dxa"/>
          </w:tcPr>
          <w:p w:rsidR="0010331B" w:rsidRPr="00407042" w:rsidRDefault="0010331B" w:rsidP="0010331B">
            <w:pPr>
              <w:jc w:val="center"/>
              <w:rPr>
                <w:sz w:val="20"/>
                <w:szCs w:val="20"/>
              </w:rPr>
            </w:pPr>
            <w:r w:rsidRPr="00407042">
              <w:rPr>
                <w:sz w:val="20"/>
                <w:szCs w:val="20"/>
              </w:rPr>
              <w:t>HCPCS code G2012</w:t>
            </w:r>
          </w:p>
        </w:tc>
        <w:tc>
          <w:tcPr>
            <w:tcW w:w="919" w:type="dxa"/>
          </w:tcPr>
          <w:p w:rsidR="0010331B" w:rsidRPr="00407042" w:rsidRDefault="0010331B" w:rsidP="0010331B">
            <w:pPr>
              <w:jc w:val="center"/>
              <w:rPr>
                <w:sz w:val="20"/>
                <w:szCs w:val="20"/>
              </w:rPr>
            </w:pPr>
            <w:r w:rsidRPr="00407042">
              <w:rPr>
                <w:sz w:val="20"/>
                <w:szCs w:val="20"/>
              </w:rPr>
              <w:t>$14.81</w:t>
            </w:r>
          </w:p>
          <w:p w:rsidR="0010331B" w:rsidRPr="00407042" w:rsidRDefault="0010331B" w:rsidP="0010331B">
            <w:pPr>
              <w:jc w:val="center"/>
              <w:rPr>
                <w:sz w:val="20"/>
                <w:szCs w:val="20"/>
              </w:rPr>
            </w:pPr>
            <w:r w:rsidRPr="00407042">
              <w:rPr>
                <w:sz w:val="20"/>
                <w:szCs w:val="20"/>
              </w:rPr>
              <w:t>Medicare Part B.</w:t>
            </w:r>
          </w:p>
          <w:p w:rsidR="0010331B" w:rsidRPr="00407042" w:rsidRDefault="0010331B" w:rsidP="0010331B">
            <w:pPr>
              <w:jc w:val="center"/>
              <w:rPr>
                <w:sz w:val="20"/>
                <w:szCs w:val="20"/>
              </w:rPr>
            </w:pPr>
          </w:p>
          <w:p w:rsidR="0010331B" w:rsidRPr="00407042" w:rsidRDefault="0010331B" w:rsidP="0010331B">
            <w:pPr>
              <w:jc w:val="center"/>
              <w:rPr>
                <w:sz w:val="20"/>
                <w:szCs w:val="20"/>
              </w:rPr>
            </w:pPr>
            <w:r w:rsidRPr="00407042">
              <w:rPr>
                <w:sz w:val="20"/>
                <w:szCs w:val="20"/>
              </w:rPr>
              <w:t>Coverage varies per commercial plan</w:t>
            </w:r>
          </w:p>
        </w:tc>
        <w:tc>
          <w:tcPr>
            <w:tcW w:w="6745" w:type="dxa"/>
          </w:tcPr>
          <w:p w:rsidR="0010331B" w:rsidRDefault="0010331B" w:rsidP="0010331B">
            <w:pPr>
              <w:rPr>
                <w:sz w:val="20"/>
                <w:szCs w:val="20"/>
              </w:rPr>
            </w:pPr>
            <w:r w:rsidRPr="00407042">
              <w:rPr>
                <w:sz w:val="20"/>
                <w:szCs w:val="20"/>
              </w:rPr>
              <w:t>Brief communication technology-based service, e.g. virtual check-in, by a physician or other qualified health care professional who can report evaluation and management services, provided to an established patient, not originating from a related E/M service provided within the previous 7 days nor leading to an E/M service or procedure within the next 24 hours or soonest available appointment; 5-10 minutes of medical discussion</w:t>
            </w:r>
          </w:p>
          <w:p w:rsidR="0010331B" w:rsidRPr="000F200D" w:rsidRDefault="000F200D" w:rsidP="000F200D">
            <w:pPr>
              <w:rPr>
                <w:color w:val="3366FF"/>
                <w:sz w:val="20"/>
                <w:szCs w:val="20"/>
              </w:rPr>
            </w:pPr>
            <w:r>
              <w:rPr>
                <w:color w:val="3366FF"/>
                <w:sz w:val="20"/>
                <w:szCs w:val="20"/>
              </w:rPr>
              <w:t>U</w:t>
            </w:r>
            <w:r w:rsidR="0010331B" w:rsidRPr="000F200D">
              <w:rPr>
                <w:color w:val="3366FF"/>
                <w:sz w:val="20"/>
                <w:szCs w:val="20"/>
              </w:rPr>
              <w:t xml:space="preserve">sed </w:t>
            </w:r>
            <w:r>
              <w:rPr>
                <w:color w:val="3366FF"/>
                <w:sz w:val="20"/>
                <w:szCs w:val="20"/>
              </w:rPr>
              <w:t>for</w:t>
            </w:r>
            <w:r w:rsidR="0010331B" w:rsidRPr="000F200D">
              <w:rPr>
                <w:color w:val="3366FF"/>
                <w:sz w:val="20"/>
                <w:szCs w:val="20"/>
              </w:rPr>
              <w:t xml:space="preserve"> an established patient who calls and speaks to an ophthalmologist or optometrist. A decision might be made </w:t>
            </w:r>
            <w:r w:rsidRPr="000F200D">
              <w:rPr>
                <w:color w:val="3366FF"/>
                <w:sz w:val="20"/>
                <w:szCs w:val="20"/>
              </w:rPr>
              <w:t xml:space="preserve">to prescribe warm compresses for a </w:t>
            </w:r>
            <w:proofErr w:type="spellStart"/>
            <w:r w:rsidRPr="000F200D">
              <w:rPr>
                <w:color w:val="3366FF"/>
                <w:sz w:val="20"/>
                <w:szCs w:val="20"/>
              </w:rPr>
              <w:t>chalazion</w:t>
            </w:r>
            <w:proofErr w:type="spellEnd"/>
            <w:r w:rsidRPr="000F200D">
              <w:rPr>
                <w:color w:val="3366FF"/>
                <w:sz w:val="20"/>
                <w:szCs w:val="20"/>
              </w:rPr>
              <w:t xml:space="preserve">, counsel about </w:t>
            </w:r>
            <w:proofErr w:type="spellStart"/>
            <w:r w:rsidRPr="000F200D">
              <w:rPr>
                <w:color w:val="3366FF"/>
                <w:sz w:val="20"/>
                <w:szCs w:val="20"/>
              </w:rPr>
              <w:t>blepharitis</w:t>
            </w:r>
            <w:proofErr w:type="spellEnd"/>
            <w:r w:rsidRPr="000F200D">
              <w:rPr>
                <w:color w:val="3366FF"/>
                <w:sz w:val="20"/>
                <w:szCs w:val="20"/>
              </w:rPr>
              <w:t>, refill a prescription etc. It can only be billed if it does not relate to a visit in the past 7 days and does not lead to a visit within 24 hours.</w:t>
            </w:r>
            <w:r>
              <w:rPr>
                <w:color w:val="3366FF"/>
                <w:sz w:val="20"/>
                <w:szCs w:val="20"/>
              </w:rPr>
              <w:t xml:space="preserve"> Documentation requirements as below.</w:t>
            </w:r>
          </w:p>
        </w:tc>
      </w:tr>
    </w:tbl>
    <w:p w:rsidR="0010331B" w:rsidRPr="00407042" w:rsidRDefault="0010331B" w:rsidP="0010331B">
      <w:pPr>
        <w:pStyle w:val="ListParagraph"/>
        <w:numPr>
          <w:ilvl w:val="0"/>
          <w:numId w:val="5"/>
        </w:numPr>
        <w:spacing w:after="300" w:line="405" w:lineRule="atLeast"/>
        <w:rPr>
          <w:rFonts w:ascii="Calibri" w:eastAsia="Times New Roman" w:hAnsi="Calibri" w:cs="Calibri"/>
          <w:color w:val="777777"/>
          <w:sz w:val="20"/>
          <w:szCs w:val="20"/>
        </w:rPr>
      </w:pPr>
      <w:r w:rsidRPr="00407042">
        <w:rPr>
          <w:rFonts w:ascii="Calibri" w:eastAsia="Times New Roman" w:hAnsi="Calibri" w:cs="Calibri"/>
          <w:color w:val="000000"/>
          <w:sz w:val="20"/>
          <w:szCs w:val="20"/>
        </w:rPr>
        <w:t>Documentation Requirements for HCPCS code G2012</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Confirm patient identity (e.g., name, date of birth or other identifying information as needed, in particular if documenting independently from the patient’s electronic or paper record).</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 xml:space="preserve">Confirm that the patient is an established patient to the practice </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Detail what occurred during the communication (e.g., patient problem(s), details of the encounter as warranted) to establish medical necessity</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Document the total amount of time spent in communicating with the patient and only submit code G2012 if a minimum of five minutes of direct communication with the patient was achieved.</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Document that the nature of the call was not tied to a face-to-face office visit or procedure that occurred within the past seven days</w:t>
      </w:r>
    </w:p>
    <w:p w:rsidR="0010331B" w:rsidRPr="00407042"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Document that a subsequent office visit for the patient’s problems were not indicated within 24 hours or the next available appointment</w:t>
      </w:r>
    </w:p>
    <w:p w:rsidR="0010331B" w:rsidRPr="0043157F" w:rsidRDefault="0010331B" w:rsidP="0010331B">
      <w:pPr>
        <w:numPr>
          <w:ilvl w:val="0"/>
          <w:numId w:val="6"/>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000000"/>
          <w:sz w:val="20"/>
          <w:szCs w:val="20"/>
        </w:rPr>
        <w:t>Include that the patient provided consent for the service</w:t>
      </w:r>
    </w:p>
    <w:p w:rsidR="0043157F" w:rsidRPr="0043157F" w:rsidRDefault="0043157F" w:rsidP="0043157F">
      <w:pPr>
        <w:spacing w:before="100" w:beforeAutospacing="1" w:after="100" w:afterAutospacing="1" w:line="240" w:lineRule="auto"/>
        <w:ind w:left="720"/>
        <w:rPr>
          <w:rFonts w:eastAsia="Times New Roman" w:cstheme="minorHAnsi"/>
          <w:color w:val="3366FF"/>
          <w:sz w:val="20"/>
          <w:szCs w:val="20"/>
        </w:rPr>
      </w:pPr>
      <w:r w:rsidRPr="0043157F">
        <w:rPr>
          <w:rFonts w:eastAsia="Times New Roman" w:cstheme="minorHAnsi"/>
          <w:color w:val="3366FF"/>
          <w:sz w:val="20"/>
          <w:szCs w:val="20"/>
        </w:rPr>
        <w:lastRenderedPageBreak/>
        <w:t>Verbal consent of the patient must be documented</w:t>
      </w:r>
    </w:p>
    <w:p w:rsidR="0010331B" w:rsidRPr="00407042" w:rsidRDefault="0010331B" w:rsidP="0010331B">
      <w:pPr>
        <w:spacing w:before="100" w:beforeAutospacing="1" w:after="100" w:afterAutospacing="1" w:line="240" w:lineRule="auto"/>
        <w:rPr>
          <w:rFonts w:eastAsia="Times New Roman" w:cstheme="minorHAnsi"/>
          <w:b/>
          <w:bCs/>
          <w:color w:val="333333"/>
          <w:sz w:val="20"/>
          <w:szCs w:val="20"/>
        </w:rPr>
      </w:pPr>
      <w:r w:rsidRPr="00407042">
        <w:rPr>
          <w:rFonts w:eastAsia="Times New Roman" w:cstheme="minorHAnsi"/>
          <w:b/>
          <w:bCs/>
          <w:color w:val="333333"/>
          <w:sz w:val="20"/>
          <w:szCs w:val="20"/>
        </w:rPr>
        <w:t xml:space="preserve">Phone calls with MDs, DOs, </w:t>
      </w:r>
      <w:proofErr w:type="gramStart"/>
      <w:r w:rsidRPr="00407042">
        <w:rPr>
          <w:rFonts w:eastAsia="Times New Roman" w:cstheme="minorHAnsi"/>
          <w:b/>
          <w:bCs/>
          <w:color w:val="333333"/>
          <w:sz w:val="20"/>
          <w:szCs w:val="20"/>
        </w:rPr>
        <w:t>ODs</w:t>
      </w:r>
      <w:proofErr w:type="gramEnd"/>
    </w:p>
    <w:tbl>
      <w:tblPr>
        <w:tblStyle w:val="TableGrid"/>
        <w:tblW w:w="0" w:type="auto"/>
        <w:tblLook w:val="04A0" w:firstRow="1" w:lastRow="0" w:firstColumn="1" w:lastColumn="0" w:noHBand="0" w:noVBand="1"/>
      </w:tblPr>
      <w:tblGrid>
        <w:gridCol w:w="1545"/>
        <w:gridCol w:w="1257"/>
        <w:gridCol w:w="6054"/>
      </w:tblGrid>
      <w:tr w:rsidR="0010331B" w:rsidRPr="00407042" w:rsidTr="0010331B">
        <w:tc>
          <w:tcPr>
            <w:tcW w:w="161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Code</w:t>
            </w:r>
          </w:p>
        </w:tc>
        <w:tc>
          <w:tcPr>
            <w:tcW w:w="1260"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Value</w:t>
            </w: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Description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99441</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Non-covered Medicare services.</w:t>
            </w:r>
          </w:p>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Coverage varies per commercial plan</w:t>
            </w: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Telephone evaluation and management service by a physician may report E/M services provided to an established patient, parent, or guardian not originating from a related E/M service provided within the previous 7 days nor leading to an E/M service or procedure within the next 24 hours or soonest available appointment; 5-10 minutes of medical discussion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99442</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11-20 minutes of medical discussion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99443</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21-30 minutes of medical discussion</w:t>
            </w:r>
          </w:p>
        </w:tc>
      </w:tr>
    </w:tbl>
    <w:p w:rsidR="0010331B" w:rsidRPr="000F200D" w:rsidRDefault="000F200D" w:rsidP="0010331B">
      <w:pPr>
        <w:spacing w:before="100" w:beforeAutospacing="1" w:after="100" w:afterAutospacing="1" w:line="240" w:lineRule="auto"/>
        <w:rPr>
          <w:rFonts w:eastAsia="Times New Roman" w:cstheme="minorHAnsi"/>
          <w:color w:val="3366FF"/>
          <w:sz w:val="20"/>
          <w:szCs w:val="20"/>
        </w:rPr>
      </w:pPr>
      <w:r w:rsidRPr="000F200D">
        <w:rPr>
          <w:rFonts w:eastAsia="Times New Roman" w:cstheme="minorHAnsi"/>
          <w:color w:val="3366FF"/>
          <w:sz w:val="20"/>
          <w:szCs w:val="20"/>
        </w:rPr>
        <w:t>Please note that above codes are not covered by Medicare but may be</w:t>
      </w:r>
      <w:r>
        <w:rPr>
          <w:rFonts w:eastAsia="Times New Roman" w:cstheme="minorHAnsi"/>
          <w:color w:val="3366FF"/>
          <w:sz w:val="20"/>
          <w:szCs w:val="20"/>
        </w:rPr>
        <w:t xml:space="preserve"> covered by Private plans. Instead, u</w:t>
      </w:r>
      <w:r w:rsidRPr="000F200D">
        <w:rPr>
          <w:rFonts w:eastAsia="Times New Roman" w:cstheme="minorHAnsi"/>
          <w:color w:val="3366FF"/>
          <w:sz w:val="20"/>
          <w:szCs w:val="20"/>
        </w:rPr>
        <w:t>se G2012 to report a telephone call</w:t>
      </w:r>
      <w:r>
        <w:rPr>
          <w:rFonts w:eastAsia="Times New Roman" w:cstheme="minorHAnsi"/>
          <w:color w:val="3366FF"/>
          <w:sz w:val="20"/>
          <w:szCs w:val="20"/>
        </w:rPr>
        <w:t xml:space="preserve"> with a physician or optometrist</w:t>
      </w:r>
      <w:r w:rsidRPr="000F200D">
        <w:rPr>
          <w:rFonts w:eastAsia="Times New Roman" w:cstheme="minorHAnsi"/>
          <w:color w:val="3366FF"/>
          <w:sz w:val="20"/>
          <w:szCs w:val="20"/>
        </w:rPr>
        <w:t xml:space="preserve"> </w:t>
      </w:r>
      <w:r>
        <w:rPr>
          <w:rFonts w:eastAsia="Times New Roman" w:cstheme="minorHAnsi"/>
          <w:color w:val="3366FF"/>
          <w:sz w:val="20"/>
          <w:szCs w:val="20"/>
        </w:rPr>
        <w:t>of</w:t>
      </w:r>
      <w:r w:rsidRPr="000F200D">
        <w:rPr>
          <w:rFonts w:eastAsia="Times New Roman" w:cstheme="minorHAnsi"/>
          <w:color w:val="3366FF"/>
          <w:sz w:val="20"/>
          <w:szCs w:val="20"/>
        </w:rPr>
        <w:t xml:space="preserve"> 5-10 minutes</w:t>
      </w:r>
    </w:p>
    <w:p w:rsidR="0010331B" w:rsidRPr="00407042" w:rsidRDefault="0010331B" w:rsidP="0010331B">
      <w:pPr>
        <w:spacing w:before="100" w:beforeAutospacing="1" w:after="100" w:afterAutospacing="1" w:line="240" w:lineRule="auto"/>
        <w:rPr>
          <w:rFonts w:eastAsia="Times New Roman" w:cstheme="minorHAnsi"/>
          <w:b/>
          <w:bCs/>
          <w:color w:val="333333"/>
          <w:sz w:val="20"/>
          <w:szCs w:val="20"/>
        </w:rPr>
      </w:pPr>
      <w:r w:rsidRPr="00407042">
        <w:rPr>
          <w:rFonts w:eastAsia="Times New Roman" w:cstheme="minorHAnsi"/>
          <w:b/>
          <w:bCs/>
          <w:color w:val="000000"/>
          <w:sz w:val="20"/>
          <w:szCs w:val="20"/>
        </w:rPr>
        <w:t>Phone calls with PAs or NPs</w:t>
      </w:r>
    </w:p>
    <w:tbl>
      <w:tblPr>
        <w:tblStyle w:val="TableGrid"/>
        <w:tblW w:w="0" w:type="auto"/>
        <w:tblLook w:val="04A0" w:firstRow="1" w:lastRow="0" w:firstColumn="1" w:lastColumn="0" w:noHBand="0" w:noVBand="1"/>
      </w:tblPr>
      <w:tblGrid>
        <w:gridCol w:w="1545"/>
        <w:gridCol w:w="1257"/>
        <w:gridCol w:w="6054"/>
      </w:tblGrid>
      <w:tr w:rsidR="0010331B" w:rsidRPr="00407042" w:rsidTr="0010331B">
        <w:tc>
          <w:tcPr>
            <w:tcW w:w="161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Code</w:t>
            </w:r>
          </w:p>
        </w:tc>
        <w:tc>
          <w:tcPr>
            <w:tcW w:w="1260"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Value</w:t>
            </w: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Description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98966</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Non-covered Medicare services.</w:t>
            </w:r>
          </w:p>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Coverage varies per commercial plan</w:t>
            </w: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 xml:space="preserve">Telephone assessment and management service provided by a qualified </w:t>
            </w:r>
            <w:proofErr w:type="spellStart"/>
            <w:r w:rsidRPr="00407042">
              <w:rPr>
                <w:rFonts w:eastAsia="Times New Roman" w:cstheme="minorHAnsi"/>
                <w:color w:val="333333"/>
                <w:sz w:val="20"/>
                <w:szCs w:val="20"/>
              </w:rPr>
              <w:t>nonphysician</w:t>
            </w:r>
            <w:proofErr w:type="spellEnd"/>
            <w:r w:rsidRPr="00407042">
              <w:rPr>
                <w:rFonts w:eastAsia="Times New Roman" w:cstheme="minorHAnsi"/>
                <w:color w:val="333333"/>
                <w:sz w:val="20"/>
                <w:szCs w:val="20"/>
              </w:rPr>
              <w:t>, heath care professional to an established patient, parent, or management service provided within the previous 7 days nor leading to an assessment and management service or procedure within the next 24 hours or soonest available appointment; 5-10 minutes of medical discussion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98967</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11-20 minutes of medical discussion</w:t>
            </w:r>
          </w:p>
        </w:tc>
      </w:tr>
      <w:tr w:rsidR="0010331B" w:rsidRPr="00407042" w:rsidTr="0010331B">
        <w:tc>
          <w:tcPr>
            <w:tcW w:w="1615"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r w:rsidRPr="00407042">
              <w:rPr>
                <w:rFonts w:eastAsia="Times New Roman" w:cstheme="minorHAnsi"/>
                <w:color w:val="333333"/>
                <w:sz w:val="20"/>
                <w:szCs w:val="20"/>
              </w:rPr>
              <w:t>98968</w:t>
            </w:r>
          </w:p>
        </w:tc>
        <w:tc>
          <w:tcPr>
            <w:tcW w:w="1260" w:type="dxa"/>
          </w:tcPr>
          <w:p w:rsidR="0010331B" w:rsidRPr="00407042" w:rsidRDefault="0010331B" w:rsidP="0010331B">
            <w:pPr>
              <w:spacing w:before="100" w:beforeAutospacing="1" w:after="100" w:afterAutospacing="1"/>
              <w:jc w:val="center"/>
              <w:rPr>
                <w:rFonts w:eastAsia="Times New Roman" w:cstheme="minorHAnsi"/>
                <w:color w:val="333333"/>
                <w:sz w:val="20"/>
                <w:szCs w:val="20"/>
              </w:rPr>
            </w:pPr>
          </w:p>
        </w:tc>
        <w:tc>
          <w:tcPr>
            <w:tcW w:w="6475" w:type="dxa"/>
          </w:tcPr>
          <w:p w:rsidR="0010331B" w:rsidRPr="00407042" w:rsidRDefault="0010331B" w:rsidP="0010331B">
            <w:pPr>
              <w:spacing w:before="100" w:beforeAutospacing="1" w:after="100" w:afterAutospacing="1"/>
              <w:rPr>
                <w:rFonts w:eastAsia="Times New Roman" w:cstheme="minorHAnsi"/>
                <w:color w:val="333333"/>
                <w:sz w:val="20"/>
                <w:szCs w:val="20"/>
              </w:rPr>
            </w:pPr>
            <w:r w:rsidRPr="00407042">
              <w:rPr>
                <w:rFonts w:eastAsia="Times New Roman" w:cstheme="minorHAnsi"/>
                <w:color w:val="333333"/>
                <w:sz w:val="20"/>
                <w:szCs w:val="20"/>
              </w:rPr>
              <w:t>21-30 minutes of medical discussion</w:t>
            </w:r>
          </w:p>
        </w:tc>
      </w:tr>
    </w:tbl>
    <w:p w:rsidR="0010331B" w:rsidRPr="00407042" w:rsidRDefault="0010331B" w:rsidP="0010331B">
      <w:pPr>
        <w:pStyle w:val="ListParagraph"/>
        <w:numPr>
          <w:ilvl w:val="0"/>
          <w:numId w:val="7"/>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333333"/>
          <w:sz w:val="20"/>
          <w:szCs w:val="20"/>
        </w:rPr>
        <w:t>Initiated by established patients</w:t>
      </w:r>
    </w:p>
    <w:p w:rsidR="0010331B" w:rsidRPr="00407042" w:rsidRDefault="0010331B" w:rsidP="0010331B">
      <w:pPr>
        <w:pStyle w:val="ListParagraph"/>
        <w:numPr>
          <w:ilvl w:val="0"/>
          <w:numId w:val="7"/>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333333"/>
          <w:sz w:val="20"/>
          <w:szCs w:val="20"/>
        </w:rPr>
        <w:t xml:space="preserve">If the telephone service ends with a decision to see the patient within 24 hours or the next available urgent visit appoint, the code is not reported; rather the encounter is considered part of the </w:t>
      </w:r>
      <w:proofErr w:type="spellStart"/>
      <w:r w:rsidRPr="00407042">
        <w:rPr>
          <w:rFonts w:eastAsia="Times New Roman" w:cstheme="minorHAnsi"/>
          <w:color w:val="333333"/>
          <w:sz w:val="20"/>
          <w:szCs w:val="20"/>
        </w:rPr>
        <w:t>preservice</w:t>
      </w:r>
      <w:proofErr w:type="spellEnd"/>
      <w:r w:rsidRPr="00407042">
        <w:rPr>
          <w:rFonts w:eastAsia="Times New Roman" w:cstheme="minorHAnsi"/>
          <w:color w:val="333333"/>
          <w:sz w:val="20"/>
          <w:szCs w:val="20"/>
        </w:rPr>
        <w:t xml:space="preserve"> work of the subsequent assessment and management service, procedure and visit.</w:t>
      </w:r>
    </w:p>
    <w:p w:rsidR="0010331B" w:rsidRPr="00407042" w:rsidRDefault="0010331B" w:rsidP="0010331B">
      <w:pPr>
        <w:pStyle w:val="ListParagraph"/>
        <w:numPr>
          <w:ilvl w:val="0"/>
          <w:numId w:val="7"/>
        </w:numPr>
        <w:spacing w:before="100" w:beforeAutospacing="1" w:after="100" w:afterAutospacing="1" w:line="240" w:lineRule="auto"/>
        <w:rPr>
          <w:rFonts w:eastAsia="Times New Roman" w:cstheme="minorHAnsi"/>
          <w:color w:val="333333"/>
          <w:sz w:val="20"/>
          <w:szCs w:val="20"/>
        </w:rPr>
      </w:pPr>
      <w:r w:rsidRPr="00407042">
        <w:rPr>
          <w:rFonts w:eastAsia="Times New Roman" w:cstheme="minorHAnsi"/>
          <w:color w:val="333333"/>
          <w:sz w:val="20"/>
          <w:szCs w:val="20"/>
        </w:rPr>
        <w:t>Likewise, if the call refers to a service performed and reported within the previous seven days or within the postoperative period of the previous completed procedure, then the service is considered part of the previous service or procedure.</w:t>
      </w:r>
    </w:p>
    <w:p w:rsidR="0010331B" w:rsidRPr="00407042" w:rsidRDefault="0010331B" w:rsidP="0010331B">
      <w:pPr>
        <w:pStyle w:val="ListParagraph"/>
        <w:spacing w:before="100" w:beforeAutospacing="1" w:after="100" w:afterAutospacing="1" w:line="240" w:lineRule="auto"/>
        <w:rPr>
          <w:rFonts w:eastAsia="Times New Roman" w:cstheme="minorHAnsi"/>
          <w:color w:val="333333"/>
          <w:sz w:val="20"/>
          <w:szCs w:val="20"/>
        </w:rPr>
      </w:pPr>
    </w:p>
    <w:p w:rsidR="0010331B" w:rsidRPr="00407042" w:rsidRDefault="0010331B" w:rsidP="0010331B">
      <w:pPr>
        <w:pStyle w:val="ListParagraph"/>
        <w:spacing w:before="100" w:beforeAutospacing="1" w:after="100" w:afterAutospacing="1" w:line="240" w:lineRule="auto"/>
        <w:rPr>
          <w:rFonts w:eastAsia="Times New Roman" w:cstheme="minorHAnsi"/>
          <w:color w:val="333333"/>
          <w:sz w:val="20"/>
          <w:szCs w:val="20"/>
        </w:rPr>
      </w:pPr>
    </w:p>
    <w:p w:rsidR="0010331B" w:rsidRPr="00407042" w:rsidRDefault="0010331B" w:rsidP="0010331B">
      <w:pPr>
        <w:pStyle w:val="ListParagraph"/>
        <w:numPr>
          <w:ilvl w:val="0"/>
          <w:numId w:val="3"/>
        </w:numPr>
        <w:spacing w:after="160" w:line="259" w:lineRule="auto"/>
        <w:rPr>
          <w:b/>
          <w:bCs/>
          <w:sz w:val="20"/>
          <w:szCs w:val="20"/>
        </w:rPr>
      </w:pPr>
      <w:r w:rsidRPr="00407042">
        <w:rPr>
          <w:b/>
          <w:bCs/>
          <w:sz w:val="20"/>
          <w:szCs w:val="20"/>
        </w:rPr>
        <w:t>Internet Consultations</w:t>
      </w:r>
    </w:p>
    <w:p w:rsidR="0010331B" w:rsidRPr="00407042" w:rsidRDefault="0010331B" w:rsidP="0010331B">
      <w:pPr>
        <w:pStyle w:val="ListParagraph"/>
        <w:rPr>
          <w:b/>
          <w:bCs/>
          <w:sz w:val="20"/>
          <w:szCs w:val="20"/>
        </w:rPr>
      </w:pPr>
    </w:p>
    <w:p w:rsidR="0010331B" w:rsidRPr="00407042" w:rsidRDefault="0010331B" w:rsidP="0010331B">
      <w:pPr>
        <w:pStyle w:val="ListParagraph"/>
        <w:numPr>
          <w:ilvl w:val="0"/>
          <w:numId w:val="4"/>
        </w:numPr>
        <w:spacing w:after="160" w:line="259" w:lineRule="auto"/>
        <w:rPr>
          <w:sz w:val="20"/>
          <w:szCs w:val="20"/>
        </w:rPr>
      </w:pPr>
      <w:r w:rsidRPr="00407042">
        <w:rPr>
          <w:sz w:val="20"/>
          <w:szCs w:val="20"/>
        </w:rPr>
        <w:t>Initiated by established patients</w:t>
      </w:r>
    </w:p>
    <w:p w:rsidR="0010331B" w:rsidRPr="00407042" w:rsidRDefault="0010331B" w:rsidP="0010331B">
      <w:pPr>
        <w:pStyle w:val="ListParagraph"/>
        <w:numPr>
          <w:ilvl w:val="0"/>
          <w:numId w:val="4"/>
        </w:numPr>
        <w:spacing w:after="160" w:line="259" w:lineRule="auto"/>
        <w:rPr>
          <w:sz w:val="20"/>
          <w:szCs w:val="20"/>
        </w:rPr>
      </w:pPr>
      <w:r w:rsidRPr="00407042">
        <w:rPr>
          <w:sz w:val="20"/>
          <w:szCs w:val="20"/>
        </w:rPr>
        <w:t>Covers 7 days</w:t>
      </w:r>
    </w:p>
    <w:p w:rsidR="0010331B" w:rsidRPr="00407042" w:rsidRDefault="0010331B" w:rsidP="0010331B">
      <w:pPr>
        <w:pStyle w:val="ListParagraph"/>
        <w:numPr>
          <w:ilvl w:val="0"/>
          <w:numId w:val="4"/>
        </w:numPr>
        <w:spacing w:after="160" w:line="259" w:lineRule="auto"/>
        <w:rPr>
          <w:sz w:val="20"/>
          <w:szCs w:val="20"/>
        </w:rPr>
      </w:pPr>
      <w:r w:rsidRPr="00407042">
        <w:rPr>
          <w:sz w:val="20"/>
          <w:szCs w:val="20"/>
        </w:rPr>
        <w:t>Not to be used for</w:t>
      </w:r>
    </w:p>
    <w:p w:rsidR="0010331B" w:rsidRPr="00407042" w:rsidRDefault="0010331B" w:rsidP="0010331B">
      <w:pPr>
        <w:pStyle w:val="ListParagraph"/>
        <w:numPr>
          <w:ilvl w:val="1"/>
          <w:numId w:val="4"/>
        </w:numPr>
        <w:spacing w:after="160" w:line="259" w:lineRule="auto"/>
        <w:rPr>
          <w:sz w:val="20"/>
          <w:szCs w:val="20"/>
        </w:rPr>
      </w:pPr>
      <w:r w:rsidRPr="00407042">
        <w:rPr>
          <w:sz w:val="20"/>
          <w:szCs w:val="20"/>
        </w:rPr>
        <w:t>Scheduling appointments</w:t>
      </w:r>
    </w:p>
    <w:p w:rsidR="0010331B" w:rsidRPr="00407042" w:rsidRDefault="0010331B" w:rsidP="0010331B">
      <w:pPr>
        <w:pStyle w:val="ListParagraph"/>
        <w:numPr>
          <w:ilvl w:val="1"/>
          <w:numId w:val="4"/>
        </w:numPr>
        <w:spacing w:after="160" w:line="259" w:lineRule="auto"/>
        <w:rPr>
          <w:sz w:val="20"/>
          <w:szCs w:val="20"/>
        </w:rPr>
      </w:pPr>
      <w:r w:rsidRPr="00407042">
        <w:rPr>
          <w:sz w:val="20"/>
          <w:szCs w:val="20"/>
        </w:rPr>
        <w:t>Conveying test results</w:t>
      </w:r>
    </w:p>
    <w:p w:rsidR="0010331B" w:rsidRPr="00407042" w:rsidRDefault="0010331B" w:rsidP="0010331B">
      <w:pPr>
        <w:pStyle w:val="ListParagraph"/>
        <w:numPr>
          <w:ilvl w:val="0"/>
          <w:numId w:val="4"/>
        </w:numPr>
        <w:spacing w:after="160" w:line="259" w:lineRule="auto"/>
        <w:rPr>
          <w:sz w:val="20"/>
          <w:szCs w:val="20"/>
        </w:rPr>
      </w:pPr>
      <w:r w:rsidRPr="00407042">
        <w:rPr>
          <w:sz w:val="20"/>
          <w:szCs w:val="20"/>
        </w:rPr>
        <w:t>Must be through HIPAA compliant secure platforms such as</w:t>
      </w:r>
    </w:p>
    <w:p w:rsidR="0010331B" w:rsidRPr="00407042" w:rsidRDefault="0010331B" w:rsidP="0010331B">
      <w:pPr>
        <w:pStyle w:val="ListParagraph"/>
        <w:numPr>
          <w:ilvl w:val="1"/>
          <w:numId w:val="4"/>
        </w:numPr>
        <w:spacing w:after="160" w:line="259" w:lineRule="auto"/>
        <w:rPr>
          <w:sz w:val="20"/>
          <w:szCs w:val="20"/>
        </w:rPr>
      </w:pPr>
      <w:r w:rsidRPr="00407042">
        <w:rPr>
          <w:sz w:val="20"/>
          <w:szCs w:val="20"/>
        </w:rPr>
        <w:t>EHR portals</w:t>
      </w:r>
    </w:p>
    <w:p w:rsidR="0010331B" w:rsidRPr="00407042" w:rsidRDefault="0010331B" w:rsidP="0010331B">
      <w:pPr>
        <w:pStyle w:val="ListParagraph"/>
        <w:numPr>
          <w:ilvl w:val="1"/>
          <w:numId w:val="4"/>
        </w:numPr>
        <w:spacing w:after="160" w:line="259" w:lineRule="auto"/>
        <w:rPr>
          <w:sz w:val="20"/>
          <w:szCs w:val="20"/>
        </w:rPr>
      </w:pPr>
      <w:r w:rsidRPr="00407042">
        <w:rPr>
          <w:sz w:val="20"/>
          <w:szCs w:val="20"/>
        </w:rPr>
        <w:t>Secure email, etc.</w:t>
      </w:r>
    </w:p>
    <w:p w:rsidR="0010331B" w:rsidRPr="00407042" w:rsidRDefault="0010331B" w:rsidP="0010331B">
      <w:pPr>
        <w:ind w:firstLine="720"/>
        <w:rPr>
          <w:b/>
          <w:bCs/>
          <w:sz w:val="20"/>
          <w:szCs w:val="20"/>
        </w:rPr>
      </w:pPr>
      <w:r w:rsidRPr="00407042">
        <w:rPr>
          <w:b/>
          <w:bCs/>
          <w:sz w:val="20"/>
          <w:szCs w:val="20"/>
        </w:rPr>
        <w:t>Internet Consultations with Physicians</w:t>
      </w:r>
    </w:p>
    <w:p w:rsidR="0010331B" w:rsidRPr="00407042" w:rsidRDefault="0010331B" w:rsidP="0010331B">
      <w:pPr>
        <w:ind w:left="720"/>
        <w:rPr>
          <w:b/>
          <w:bCs/>
          <w:sz w:val="20"/>
          <w:szCs w:val="20"/>
        </w:rPr>
      </w:pPr>
      <w:r w:rsidRPr="00407042">
        <w:rPr>
          <w:b/>
          <w:bCs/>
          <w:sz w:val="20"/>
          <w:szCs w:val="20"/>
        </w:rPr>
        <w:t xml:space="preserve">New codes in 2020 </w:t>
      </w:r>
    </w:p>
    <w:tbl>
      <w:tblPr>
        <w:tblStyle w:val="TableGrid"/>
        <w:tblW w:w="0" w:type="auto"/>
        <w:tblLook w:val="04A0" w:firstRow="1" w:lastRow="0" w:firstColumn="1" w:lastColumn="0" w:noHBand="0" w:noVBand="1"/>
      </w:tblPr>
      <w:tblGrid>
        <w:gridCol w:w="1219"/>
        <w:gridCol w:w="1392"/>
        <w:gridCol w:w="6245"/>
      </w:tblGrid>
      <w:tr w:rsidR="0010331B" w:rsidRPr="00407042" w:rsidTr="0010331B">
        <w:tc>
          <w:tcPr>
            <w:tcW w:w="1255" w:type="dxa"/>
          </w:tcPr>
          <w:p w:rsidR="0010331B" w:rsidRPr="00407042" w:rsidRDefault="0010331B" w:rsidP="0010331B">
            <w:pPr>
              <w:jc w:val="center"/>
              <w:rPr>
                <w:sz w:val="20"/>
                <w:szCs w:val="20"/>
              </w:rPr>
            </w:pPr>
            <w:r w:rsidRPr="00407042">
              <w:rPr>
                <w:sz w:val="20"/>
                <w:szCs w:val="20"/>
              </w:rPr>
              <w:t>Code</w:t>
            </w:r>
          </w:p>
        </w:tc>
        <w:tc>
          <w:tcPr>
            <w:tcW w:w="1440" w:type="dxa"/>
          </w:tcPr>
          <w:p w:rsidR="0010331B" w:rsidRPr="00407042" w:rsidRDefault="0010331B" w:rsidP="0010331B">
            <w:pPr>
              <w:jc w:val="center"/>
              <w:rPr>
                <w:sz w:val="20"/>
                <w:szCs w:val="20"/>
              </w:rPr>
            </w:pPr>
            <w:r w:rsidRPr="00407042">
              <w:rPr>
                <w:sz w:val="20"/>
                <w:szCs w:val="20"/>
              </w:rPr>
              <w:t>Value</w:t>
            </w:r>
          </w:p>
        </w:tc>
        <w:tc>
          <w:tcPr>
            <w:tcW w:w="6655" w:type="dxa"/>
          </w:tcPr>
          <w:p w:rsidR="0010331B" w:rsidRPr="00407042" w:rsidRDefault="0010331B" w:rsidP="0010331B">
            <w:pPr>
              <w:rPr>
                <w:sz w:val="20"/>
                <w:szCs w:val="20"/>
              </w:rPr>
            </w:pPr>
            <w:r w:rsidRPr="00407042">
              <w:rPr>
                <w:sz w:val="20"/>
                <w:szCs w:val="20"/>
              </w:rPr>
              <w:t>Description</w:t>
            </w: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99421</w:t>
            </w:r>
          </w:p>
          <w:p w:rsidR="0010331B" w:rsidRPr="00407042" w:rsidRDefault="0010331B" w:rsidP="0010331B">
            <w:pPr>
              <w:jc w:val="center"/>
              <w:rPr>
                <w:sz w:val="20"/>
                <w:szCs w:val="20"/>
              </w:rPr>
            </w:pPr>
          </w:p>
        </w:tc>
        <w:tc>
          <w:tcPr>
            <w:tcW w:w="1440" w:type="dxa"/>
          </w:tcPr>
          <w:p w:rsidR="0010331B" w:rsidRPr="00407042" w:rsidRDefault="0010331B" w:rsidP="0010331B">
            <w:pPr>
              <w:jc w:val="center"/>
              <w:rPr>
                <w:sz w:val="20"/>
                <w:szCs w:val="20"/>
              </w:rPr>
            </w:pPr>
            <w:r w:rsidRPr="00407042">
              <w:rPr>
                <w:sz w:val="20"/>
                <w:szCs w:val="20"/>
              </w:rPr>
              <w:t>$15.52</w:t>
            </w:r>
          </w:p>
          <w:p w:rsidR="0010331B" w:rsidRPr="00407042" w:rsidRDefault="0010331B" w:rsidP="0010331B">
            <w:pPr>
              <w:jc w:val="center"/>
              <w:rPr>
                <w:sz w:val="20"/>
                <w:szCs w:val="20"/>
              </w:rPr>
            </w:pPr>
          </w:p>
        </w:tc>
        <w:tc>
          <w:tcPr>
            <w:tcW w:w="6655" w:type="dxa"/>
          </w:tcPr>
          <w:p w:rsidR="0010331B" w:rsidRPr="00407042" w:rsidRDefault="0010331B" w:rsidP="0010331B">
            <w:pPr>
              <w:rPr>
                <w:sz w:val="20"/>
                <w:szCs w:val="20"/>
              </w:rPr>
            </w:pPr>
            <w:r w:rsidRPr="00407042">
              <w:rPr>
                <w:sz w:val="20"/>
                <w:szCs w:val="20"/>
              </w:rPr>
              <w:t>Online digital E/M service, for an established patient, for up to 7 days, cumulative time during the 7 days; 5-10 min</w:t>
            </w:r>
          </w:p>
          <w:p w:rsidR="0010331B" w:rsidRPr="00407042" w:rsidRDefault="0010331B" w:rsidP="0010331B">
            <w:pPr>
              <w:rPr>
                <w:sz w:val="20"/>
                <w:szCs w:val="20"/>
              </w:rPr>
            </w:pP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99422</w:t>
            </w:r>
          </w:p>
          <w:p w:rsidR="0010331B" w:rsidRPr="00407042" w:rsidRDefault="0010331B" w:rsidP="0010331B">
            <w:pPr>
              <w:jc w:val="center"/>
              <w:rPr>
                <w:sz w:val="20"/>
                <w:szCs w:val="20"/>
              </w:rPr>
            </w:pPr>
          </w:p>
        </w:tc>
        <w:tc>
          <w:tcPr>
            <w:tcW w:w="1440" w:type="dxa"/>
          </w:tcPr>
          <w:p w:rsidR="0010331B" w:rsidRPr="00407042" w:rsidRDefault="0010331B" w:rsidP="0010331B">
            <w:pPr>
              <w:jc w:val="center"/>
              <w:rPr>
                <w:sz w:val="20"/>
                <w:szCs w:val="20"/>
              </w:rPr>
            </w:pPr>
            <w:r w:rsidRPr="00407042">
              <w:rPr>
                <w:sz w:val="20"/>
                <w:szCs w:val="20"/>
              </w:rPr>
              <w:t>$31.04</w:t>
            </w:r>
          </w:p>
          <w:p w:rsidR="0010331B" w:rsidRPr="00407042" w:rsidRDefault="0010331B" w:rsidP="0010331B">
            <w:pPr>
              <w:jc w:val="center"/>
              <w:rPr>
                <w:sz w:val="20"/>
                <w:szCs w:val="20"/>
              </w:rPr>
            </w:pPr>
          </w:p>
        </w:tc>
        <w:tc>
          <w:tcPr>
            <w:tcW w:w="6655" w:type="dxa"/>
          </w:tcPr>
          <w:p w:rsidR="0010331B" w:rsidRPr="00407042" w:rsidRDefault="0010331B" w:rsidP="0010331B">
            <w:pPr>
              <w:rPr>
                <w:sz w:val="20"/>
                <w:szCs w:val="20"/>
              </w:rPr>
            </w:pPr>
            <w:r w:rsidRPr="00407042">
              <w:rPr>
                <w:sz w:val="20"/>
                <w:szCs w:val="20"/>
              </w:rPr>
              <w:t>11-20 minutes</w:t>
            </w:r>
          </w:p>
          <w:p w:rsidR="0010331B" w:rsidRPr="00407042" w:rsidRDefault="0010331B" w:rsidP="0010331B">
            <w:pPr>
              <w:rPr>
                <w:sz w:val="20"/>
                <w:szCs w:val="20"/>
              </w:rPr>
            </w:pP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99423</w:t>
            </w:r>
          </w:p>
          <w:p w:rsidR="0010331B" w:rsidRPr="00407042" w:rsidRDefault="0010331B" w:rsidP="0010331B">
            <w:pPr>
              <w:jc w:val="center"/>
              <w:rPr>
                <w:sz w:val="20"/>
                <w:szCs w:val="20"/>
              </w:rPr>
            </w:pPr>
          </w:p>
        </w:tc>
        <w:tc>
          <w:tcPr>
            <w:tcW w:w="1440" w:type="dxa"/>
          </w:tcPr>
          <w:p w:rsidR="0010331B" w:rsidRPr="00407042" w:rsidRDefault="0010331B" w:rsidP="0010331B">
            <w:pPr>
              <w:jc w:val="center"/>
              <w:rPr>
                <w:sz w:val="20"/>
                <w:szCs w:val="20"/>
              </w:rPr>
            </w:pPr>
            <w:r w:rsidRPr="00407042">
              <w:rPr>
                <w:sz w:val="20"/>
                <w:szCs w:val="20"/>
              </w:rPr>
              <w:t>$50.16</w:t>
            </w:r>
          </w:p>
          <w:p w:rsidR="0010331B" w:rsidRPr="00407042" w:rsidRDefault="0010331B" w:rsidP="0010331B">
            <w:pPr>
              <w:jc w:val="center"/>
              <w:rPr>
                <w:sz w:val="20"/>
                <w:szCs w:val="20"/>
              </w:rPr>
            </w:pPr>
          </w:p>
        </w:tc>
        <w:tc>
          <w:tcPr>
            <w:tcW w:w="6655" w:type="dxa"/>
          </w:tcPr>
          <w:p w:rsidR="0010331B" w:rsidRPr="00407042" w:rsidRDefault="0010331B" w:rsidP="0010331B">
            <w:pPr>
              <w:rPr>
                <w:sz w:val="20"/>
                <w:szCs w:val="20"/>
              </w:rPr>
            </w:pPr>
            <w:r w:rsidRPr="00407042">
              <w:rPr>
                <w:sz w:val="20"/>
                <w:szCs w:val="20"/>
              </w:rPr>
              <w:t>21 or more minutes</w:t>
            </w:r>
          </w:p>
        </w:tc>
      </w:tr>
    </w:tbl>
    <w:p w:rsidR="0010331B" w:rsidRDefault="0010331B" w:rsidP="0010331B">
      <w:pPr>
        <w:rPr>
          <w:sz w:val="20"/>
          <w:szCs w:val="20"/>
        </w:rPr>
      </w:pPr>
    </w:p>
    <w:p w:rsidR="005554FD" w:rsidRPr="005554FD" w:rsidRDefault="005554FD" w:rsidP="005554FD">
      <w:pPr>
        <w:spacing w:after="300" w:line="240" w:lineRule="auto"/>
        <w:rPr>
          <w:rFonts w:ascii="Calibri" w:eastAsia="Times New Roman" w:hAnsi="Calibri" w:cs="Calibri"/>
          <w:color w:val="3366FF"/>
          <w:sz w:val="20"/>
          <w:szCs w:val="20"/>
        </w:rPr>
      </w:pPr>
      <w:r w:rsidRPr="005554FD">
        <w:rPr>
          <w:color w:val="3366FF"/>
          <w:sz w:val="20"/>
          <w:szCs w:val="20"/>
        </w:rPr>
        <w:t xml:space="preserve">Initiated by the patient. </w:t>
      </w:r>
      <w:r>
        <w:rPr>
          <w:color w:val="3366FF"/>
          <w:sz w:val="20"/>
          <w:szCs w:val="20"/>
        </w:rPr>
        <w:t xml:space="preserve">Internet based (secure email or portal) </w:t>
      </w:r>
      <w:proofErr w:type="gramStart"/>
      <w:r w:rsidRPr="005554FD">
        <w:rPr>
          <w:color w:val="3366FF"/>
          <w:sz w:val="20"/>
          <w:szCs w:val="20"/>
        </w:rPr>
        <w:t>This</w:t>
      </w:r>
      <w:proofErr w:type="gramEnd"/>
      <w:r w:rsidRPr="005554FD">
        <w:rPr>
          <w:color w:val="3366FF"/>
          <w:sz w:val="20"/>
          <w:szCs w:val="20"/>
        </w:rPr>
        <w:t xml:space="preserve"> is entirely based on time spent with patient</w:t>
      </w:r>
      <w:r>
        <w:rPr>
          <w:color w:val="3366FF"/>
          <w:sz w:val="20"/>
          <w:szCs w:val="20"/>
        </w:rPr>
        <w:t xml:space="preserve"> which should be documented</w:t>
      </w:r>
      <w:r w:rsidRPr="005554FD">
        <w:rPr>
          <w:color w:val="3366FF"/>
          <w:sz w:val="20"/>
          <w:szCs w:val="20"/>
        </w:rPr>
        <w:t xml:space="preserve">. Advise </w:t>
      </w:r>
      <w:r w:rsidRPr="005554FD">
        <w:rPr>
          <w:rFonts w:ascii="Calibri" w:eastAsia="Times New Roman" w:hAnsi="Calibri" w:cs="Calibri"/>
          <w:color w:val="3366FF"/>
          <w:sz w:val="20"/>
          <w:szCs w:val="20"/>
        </w:rPr>
        <w:t xml:space="preserve">Documentation Requirements for HCPCS code G2012 </w:t>
      </w:r>
      <w:r w:rsidRPr="005554FD">
        <w:rPr>
          <w:color w:val="3366FF"/>
          <w:sz w:val="20"/>
          <w:szCs w:val="20"/>
        </w:rPr>
        <w:t>as in G2012 code.</w:t>
      </w:r>
    </w:p>
    <w:p w:rsidR="0010331B" w:rsidRPr="00407042" w:rsidRDefault="0010331B" w:rsidP="0010331B">
      <w:pPr>
        <w:ind w:left="720"/>
        <w:rPr>
          <w:b/>
          <w:bCs/>
          <w:sz w:val="20"/>
          <w:szCs w:val="20"/>
        </w:rPr>
      </w:pPr>
      <w:r w:rsidRPr="00407042">
        <w:rPr>
          <w:b/>
          <w:bCs/>
          <w:sz w:val="20"/>
          <w:szCs w:val="20"/>
        </w:rPr>
        <w:t>Internet Consultations with Non- Physicians such as Physician Assistants and Nurse Practitioners</w:t>
      </w:r>
    </w:p>
    <w:p w:rsidR="0010331B" w:rsidRPr="00407042" w:rsidRDefault="0010331B" w:rsidP="0010331B">
      <w:pPr>
        <w:ind w:firstLine="720"/>
        <w:rPr>
          <w:b/>
          <w:bCs/>
          <w:sz w:val="20"/>
          <w:szCs w:val="20"/>
        </w:rPr>
      </w:pPr>
      <w:r w:rsidRPr="00407042">
        <w:rPr>
          <w:b/>
          <w:bCs/>
          <w:sz w:val="20"/>
          <w:szCs w:val="20"/>
        </w:rPr>
        <w:t xml:space="preserve">New codes in 2020 </w:t>
      </w:r>
    </w:p>
    <w:tbl>
      <w:tblPr>
        <w:tblStyle w:val="TableGrid"/>
        <w:tblW w:w="0" w:type="auto"/>
        <w:tblLook w:val="04A0" w:firstRow="1" w:lastRow="0" w:firstColumn="1" w:lastColumn="0" w:noHBand="0" w:noVBand="1"/>
      </w:tblPr>
      <w:tblGrid>
        <w:gridCol w:w="1219"/>
        <w:gridCol w:w="1385"/>
        <w:gridCol w:w="6252"/>
      </w:tblGrid>
      <w:tr w:rsidR="0010331B" w:rsidRPr="00407042" w:rsidTr="0010331B">
        <w:tc>
          <w:tcPr>
            <w:tcW w:w="1255" w:type="dxa"/>
          </w:tcPr>
          <w:p w:rsidR="0010331B" w:rsidRPr="00407042" w:rsidRDefault="0010331B" w:rsidP="0010331B">
            <w:pPr>
              <w:jc w:val="center"/>
              <w:rPr>
                <w:sz w:val="20"/>
                <w:szCs w:val="20"/>
              </w:rPr>
            </w:pPr>
            <w:r w:rsidRPr="00407042">
              <w:rPr>
                <w:sz w:val="20"/>
                <w:szCs w:val="20"/>
              </w:rPr>
              <w:t>Codes</w:t>
            </w:r>
          </w:p>
        </w:tc>
        <w:tc>
          <w:tcPr>
            <w:tcW w:w="1440" w:type="dxa"/>
          </w:tcPr>
          <w:p w:rsidR="0010331B" w:rsidRPr="00407042" w:rsidRDefault="0010331B" w:rsidP="0010331B">
            <w:pPr>
              <w:jc w:val="center"/>
              <w:rPr>
                <w:sz w:val="20"/>
                <w:szCs w:val="20"/>
              </w:rPr>
            </w:pPr>
            <w:r w:rsidRPr="00407042">
              <w:rPr>
                <w:sz w:val="20"/>
                <w:szCs w:val="20"/>
              </w:rPr>
              <w:t>Value</w:t>
            </w:r>
          </w:p>
        </w:tc>
        <w:tc>
          <w:tcPr>
            <w:tcW w:w="6655" w:type="dxa"/>
          </w:tcPr>
          <w:p w:rsidR="0010331B" w:rsidRPr="00407042" w:rsidRDefault="0010331B" w:rsidP="0010331B">
            <w:pPr>
              <w:rPr>
                <w:sz w:val="20"/>
                <w:szCs w:val="20"/>
              </w:rPr>
            </w:pPr>
            <w:r w:rsidRPr="00407042">
              <w:rPr>
                <w:sz w:val="20"/>
                <w:szCs w:val="20"/>
              </w:rPr>
              <w:t>Description</w:t>
            </w: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98970</w:t>
            </w:r>
          </w:p>
          <w:p w:rsidR="0010331B" w:rsidRPr="00407042" w:rsidRDefault="0010331B" w:rsidP="0010331B">
            <w:pPr>
              <w:jc w:val="center"/>
              <w:rPr>
                <w:sz w:val="20"/>
                <w:szCs w:val="20"/>
              </w:rPr>
            </w:pPr>
          </w:p>
          <w:p w:rsidR="0010331B" w:rsidRPr="00407042" w:rsidRDefault="0010331B" w:rsidP="0010331B">
            <w:pPr>
              <w:jc w:val="center"/>
              <w:rPr>
                <w:sz w:val="20"/>
                <w:szCs w:val="20"/>
              </w:rPr>
            </w:pPr>
          </w:p>
        </w:tc>
        <w:tc>
          <w:tcPr>
            <w:tcW w:w="1440" w:type="dxa"/>
          </w:tcPr>
          <w:p w:rsidR="0010331B" w:rsidRPr="00407042" w:rsidRDefault="0010331B" w:rsidP="0010331B">
            <w:pPr>
              <w:jc w:val="center"/>
              <w:rPr>
                <w:sz w:val="20"/>
                <w:szCs w:val="20"/>
              </w:rPr>
            </w:pPr>
            <w:r w:rsidRPr="00407042">
              <w:rPr>
                <w:sz w:val="20"/>
                <w:szCs w:val="20"/>
              </w:rPr>
              <w:t>$0</w:t>
            </w:r>
          </w:p>
        </w:tc>
        <w:tc>
          <w:tcPr>
            <w:tcW w:w="6655" w:type="dxa"/>
          </w:tcPr>
          <w:p w:rsidR="0010331B" w:rsidRPr="00407042" w:rsidRDefault="0010331B" w:rsidP="0010331B">
            <w:pPr>
              <w:rPr>
                <w:sz w:val="20"/>
                <w:szCs w:val="20"/>
              </w:rPr>
            </w:pPr>
            <w:r w:rsidRPr="00407042">
              <w:rPr>
                <w:sz w:val="20"/>
                <w:szCs w:val="20"/>
              </w:rPr>
              <w:t>Online digital E/M service, for an established patient, for up to 7 days, cumulative time during the 7 days; 5-10 min</w:t>
            </w:r>
          </w:p>
          <w:p w:rsidR="0010331B" w:rsidRPr="00407042" w:rsidRDefault="0010331B" w:rsidP="0010331B">
            <w:pPr>
              <w:rPr>
                <w:sz w:val="20"/>
                <w:szCs w:val="20"/>
              </w:rPr>
            </w:pP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98971</w:t>
            </w:r>
          </w:p>
          <w:p w:rsidR="0010331B" w:rsidRPr="00407042" w:rsidRDefault="0010331B" w:rsidP="0010331B">
            <w:pPr>
              <w:jc w:val="center"/>
              <w:rPr>
                <w:sz w:val="20"/>
                <w:szCs w:val="20"/>
              </w:rPr>
            </w:pPr>
          </w:p>
        </w:tc>
        <w:tc>
          <w:tcPr>
            <w:tcW w:w="1440" w:type="dxa"/>
          </w:tcPr>
          <w:p w:rsidR="0010331B" w:rsidRPr="00407042" w:rsidRDefault="0010331B" w:rsidP="0010331B">
            <w:pPr>
              <w:jc w:val="center"/>
              <w:rPr>
                <w:sz w:val="20"/>
                <w:szCs w:val="20"/>
              </w:rPr>
            </w:pPr>
            <w:r w:rsidRPr="00407042">
              <w:rPr>
                <w:sz w:val="20"/>
                <w:szCs w:val="20"/>
              </w:rPr>
              <w:t>$0</w:t>
            </w:r>
          </w:p>
        </w:tc>
        <w:tc>
          <w:tcPr>
            <w:tcW w:w="6655" w:type="dxa"/>
          </w:tcPr>
          <w:p w:rsidR="0010331B" w:rsidRPr="00407042" w:rsidRDefault="0010331B" w:rsidP="0010331B">
            <w:pPr>
              <w:rPr>
                <w:sz w:val="20"/>
                <w:szCs w:val="20"/>
              </w:rPr>
            </w:pPr>
            <w:r w:rsidRPr="00407042">
              <w:rPr>
                <w:sz w:val="20"/>
                <w:szCs w:val="20"/>
              </w:rPr>
              <w:t>11-20 minutes</w:t>
            </w:r>
          </w:p>
        </w:tc>
      </w:tr>
      <w:tr w:rsidR="0010331B" w:rsidRPr="00407042" w:rsidTr="0010331B">
        <w:tc>
          <w:tcPr>
            <w:tcW w:w="1255" w:type="dxa"/>
          </w:tcPr>
          <w:p w:rsidR="0010331B" w:rsidRPr="00407042" w:rsidRDefault="0010331B" w:rsidP="0010331B">
            <w:pPr>
              <w:jc w:val="center"/>
              <w:rPr>
                <w:sz w:val="20"/>
                <w:szCs w:val="20"/>
              </w:rPr>
            </w:pPr>
            <w:r w:rsidRPr="00407042">
              <w:rPr>
                <w:sz w:val="20"/>
                <w:szCs w:val="20"/>
              </w:rPr>
              <w:t>98972</w:t>
            </w:r>
          </w:p>
        </w:tc>
        <w:tc>
          <w:tcPr>
            <w:tcW w:w="1440" w:type="dxa"/>
          </w:tcPr>
          <w:p w:rsidR="0010331B" w:rsidRPr="00407042" w:rsidRDefault="0010331B" w:rsidP="0010331B">
            <w:pPr>
              <w:jc w:val="center"/>
              <w:rPr>
                <w:sz w:val="20"/>
                <w:szCs w:val="20"/>
              </w:rPr>
            </w:pPr>
            <w:r w:rsidRPr="00407042">
              <w:rPr>
                <w:sz w:val="20"/>
                <w:szCs w:val="20"/>
              </w:rPr>
              <w:t>$0</w:t>
            </w:r>
          </w:p>
        </w:tc>
        <w:tc>
          <w:tcPr>
            <w:tcW w:w="6655" w:type="dxa"/>
          </w:tcPr>
          <w:p w:rsidR="0010331B" w:rsidRPr="00407042" w:rsidRDefault="0010331B" w:rsidP="0010331B">
            <w:pPr>
              <w:rPr>
                <w:sz w:val="20"/>
                <w:szCs w:val="20"/>
              </w:rPr>
            </w:pPr>
            <w:r w:rsidRPr="00407042">
              <w:rPr>
                <w:sz w:val="20"/>
                <w:szCs w:val="20"/>
              </w:rPr>
              <w:t>21 or more minutes</w:t>
            </w:r>
          </w:p>
          <w:p w:rsidR="0010331B" w:rsidRPr="00407042" w:rsidRDefault="0010331B" w:rsidP="0010331B">
            <w:pPr>
              <w:rPr>
                <w:sz w:val="20"/>
                <w:szCs w:val="20"/>
              </w:rPr>
            </w:pPr>
          </w:p>
        </w:tc>
      </w:tr>
    </w:tbl>
    <w:p w:rsidR="0010331B" w:rsidRDefault="0010331B" w:rsidP="0010331B">
      <w:pPr>
        <w:rPr>
          <w:sz w:val="20"/>
          <w:szCs w:val="20"/>
        </w:rPr>
      </w:pPr>
    </w:p>
    <w:p w:rsidR="005554FD" w:rsidRPr="005554FD" w:rsidRDefault="005554FD" w:rsidP="0010331B">
      <w:pPr>
        <w:rPr>
          <w:color w:val="3366FF"/>
          <w:sz w:val="20"/>
          <w:szCs w:val="20"/>
        </w:rPr>
      </w:pPr>
      <w:r w:rsidRPr="005554FD">
        <w:rPr>
          <w:color w:val="3366FF"/>
          <w:sz w:val="20"/>
          <w:szCs w:val="20"/>
        </w:rPr>
        <w:t xml:space="preserve">Not covered by Medicare but may be covered by private </w:t>
      </w:r>
      <w:proofErr w:type="spellStart"/>
      <w:r w:rsidRPr="005554FD">
        <w:rPr>
          <w:color w:val="3366FF"/>
          <w:sz w:val="20"/>
          <w:szCs w:val="20"/>
        </w:rPr>
        <w:t>payors</w:t>
      </w:r>
      <w:proofErr w:type="spellEnd"/>
    </w:p>
    <w:p w:rsidR="0043157F" w:rsidRDefault="0043157F" w:rsidP="0043157F">
      <w:pPr>
        <w:pStyle w:val="ListParagraph"/>
        <w:spacing w:after="160" w:line="259" w:lineRule="auto"/>
        <w:rPr>
          <w:b/>
          <w:bCs/>
          <w:sz w:val="20"/>
          <w:szCs w:val="20"/>
        </w:rPr>
      </w:pPr>
    </w:p>
    <w:p w:rsidR="0010331B" w:rsidRPr="00407042" w:rsidRDefault="0010331B" w:rsidP="0010331B">
      <w:pPr>
        <w:pStyle w:val="ListParagraph"/>
        <w:numPr>
          <w:ilvl w:val="0"/>
          <w:numId w:val="3"/>
        </w:numPr>
        <w:spacing w:after="160" w:line="259" w:lineRule="auto"/>
        <w:rPr>
          <w:b/>
          <w:bCs/>
          <w:sz w:val="20"/>
          <w:szCs w:val="20"/>
        </w:rPr>
      </w:pPr>
      <w:r w:rsidRPr="00407042">
        <w:rPr>
          <w:b/>
          <w:bCs/>
          <w:sz w:val="20"/>
          <w:szCs w:val="20"/>
        </w:rPr>
        <w:t>Telemedicine Exams</w:t>
      </w:r>
    </w:p>
    <w:p w:rsidR="0010331B" w:rsidRPr="00407042" w:rsidRDefault="0010331B" w:rsidP="0010331B">
      <w:pPr>
        <w:numPr>
          <w:ilvl w:val="0"/>
          <w:numId w:val="1"/>
        </w:numPr>
        <w:spacing w:after="160" w:line="259" w:lineRule="auto"/>
        <w:rPr>
          <w:sz w:val="20"/>
          <w:szCs w:val="20"/>
        </w:rPr>
      </w:pPr>
      <w:r w:rsidRPr="00407042">
        <w:rPr>
          <w:sz w:val="20"/>
          <w:szCs w:val="20"/>
        </w:rPr>
        <w:t>Telemedicine is defined by a real-time interaction between a physician or other qualified health care professional and a patient who is located at a distant site from the physician.</w:t>
      </w:r>
    </w:p>
    <w:p w:rsidR="0010331B" w:rsidRPr="00407042" w:rsidRDefault="0010331B" w:rsidP="0010331B">
      <w:pPr>
        <w:numPr>
          <w:ilvl w:val="0"/>
          <w:numId w:val="1"/>
        </w:numPr>
        <w:spacing w:after="160" w:line="259" w:lineRule="auto"/>
        <w:rPr>
          <w:sz w:val="20"/>
          <w:szCs w:val="20"/>
        </w:rPr>
      </w:pPr>
      <w:r w:rsidRPr="00407042">
        <w:rPr>
          <w:sz w:val="20"/>
          <w:szCs w:val="20"/>
        </w:rPr>
        <w:t>The examination and communication of information exchange between the physician and the patient must be the same as when rendered face-to-face.</w:t>
      </w:r>
    </w:p>
    <w:p w:rsidR="0010331B" w:rsidRPr="00407042" w:rsidRDefault="0010331B" w:rsidP="0010331B">
      <w:pPr>
        <w:numPr>
          <w:ilvl w:val="0"/>
          <w:numId w:val="1"/>
        </w:numPr>
        <w:spacing w:after="160" w:line="259" w:lineRule="auto"/>
        <w:rPr>
          <w:sz w:val="20"/>
          <w:szCs w:val="20"/>
        </w:rPr>
      </w:pPr>
      <w:r w:rsidRPr="00407042">
        <w:rPr>
          <w:sz w:val="20"/>
          <w:szCs w:val="20"/>
        </w:rPr>
        <w:t>Code level selection is based on same criteria for the base codes</w:t>
      </w:r>
    </w:p>
    <w:p w:rsidR="0010331B" w:rsidRPr="00407042" w:rsidRDefault="0010331B" w:rsidP="0010331B">
      <w:pPr>
        <w:numPr>
          <w:ilvl w:val="0"/>
          <w:numId w:val="1"/>
        </w:numPr>
        <w:spacing w:after="160" w:line="259" w:lineRule="auto"/>
        <w:rPr>
          <w:sz w:val="20"/>
          <w:szCs w:val="20"/>
        </w:rPr>
      </w:pPr>
      <w:r w:rsidRPr="00407042">
        <w:rPr>
          <w:sz w:val="20"/>
          <w:szCs w:val="20"/>
        </w:rPr>
        <w:t>Telemedicine codes are identified by a star (</w:t>
      </w:r>
      <w:r w:rsidRPr="00407042">
        <w:rPr>
          <w:b/>
          <w:bCs/>
          <w:sz w:val="20"/>
          <w:szCs w:val="20"/>
        </w:rPr>
        <w:t>*</w:t>
      </w:r>
      <w:r w:rsidRPr="00407042">
        <w:rPr>
          <w:sz w:val="20"/>
          <w:szCs w:val="20"/>
        </w:rPr>
        <w:t>) in your CPT book</w:t>
      </w:r>
    </w:p>
    <w:p w:rsidR="0010331B" w:rsidRPr="00407042" w:rsidRDefault="0010331B" w:rsidP="0010331B">
      <w:pPr>
        <w:numPr>
          <w:ilvl w:val="1"/>
          <w:numId w:val="2"/>
        </w:numPr>
        <w:spacing w:after="160" w:line="259" w:lineRule="auto"/>
        <w:rPr>
          <w:sz w:val="20"/>
          <w:szCs w:val="20"/>
        </w:rPr>
      </w:pPr>
      <w:r w:rsidRPr="00407042">
        <w:rPr>
          <w:sz w:val="20"/>
          <w:szCs w:val="20"/>
        </w:rPr>
        <w:t>Office based</w:t>
      </w:r>
    </w:p>
    <w:p w:rsidR="0010331B" w:rsidRPr="00407042" w:rsidRDefault="0010331B" w:rsidP="0010331B">
      <w:pPr>
        <w:numPr>
          <w:ilvl w:val="2"/>
          <w:numId w:val="2"/>
        </w:numPr>
        <w:spacing w:after="160" w:line="259" w:lineRule="auto"/>
        <w:rPr>
          <w:sz w:val="20"/>
          <w:szCs w:val="20"/>
        </w:rPr>
      </w:pPr>
      <w:r w:rsidRPr="00407042">
        <w:rPr>
          <w:sz w:val="20"/>
          <w:szCs w:val="20"/>
        </w:rPr>
        <w:t>99201 – 99205 E/M new patient</w:t>
      </w:r>
    </w:p>
    <w:p w:rsidR="0010331B" w:rsidRPr="00407042" w:rsidRDefault="0010331B" w:rsidP="0010331B">
      <w:pPr>
        <w:numPr>
          <w:ilvl w:val="2"/>
          <w:numId w:val="1"/>
        </w:numPr>
        <w:spacing w:after="160" w:line="259" w:lineRule="auto"/>
        <w:rPr>
          <w:sz w:val="20"/>
          <w:szCs w:val="20"/>
        </w:rPr>
      </w:pPr>
      <w:r w:rsidRPr="00407042">
        <w:rPr>
          <w:sz w:val="20"/>
          <w:szCs w:val="20"/>
        </w:rPr>
        <w:t>99212 – 99215 E/M established patient</w:t>
      </w:r>
    </w:p>
    <w:p w:rsidR="0010331B" w:rsidRPr="00407042" w:rsidRDefault="0010331B" w:rsidP="0010331B">
      <w:pPr>
        <w:numPr>
          <w:ilvl w:val="2"/>
          <w:numId w:val="1"/>
        </w:numPr>
        <w:spacing w:after="160" w:line="259" w:lineRule="auto"/>
        <w:rPr>
          <w:sz w:val="20"/>
          <w:szCs w:val="20"/>
        </w:rPr>
      </w:pPr>
      <w:r w:rsidRPr="00407042">
        <w:rPr>
          <w:sz w:val="20"/>
          <w:szCs w:val="20"/>
        </w:rPr>
        <w:t>Does not apply to tech code 99211 or Eye visit codes</w:t>
      </w:r>
    </w:p>
    <w:p w:rsidR="0010331B" w:rsidRPr="00407042" w:rsidRDefault="0010331B" w:rsidP="0010331B">
      <w:pPr>
        <w:numPr>
          <w:ilvl w:val="1"/>
          <w:numId w:val="1"/>
        </w:numPr>
        <w:spacing w:after="160" w:line="259" w:lineRule="auto"/>
        <w:rPr>
          <w:sz w:val="20"/>
          <w:szCs w:val="20"/>
        </w:rPr>
      </w:pPr>
      <w:r w:rsidRPr="00407042">
        <w:rPr>
          <w:sz w:val="20"/>
          <w:szCs w:val="20"/>
        </w:rPr>
        <w:t>Office consultations</w:t>
      </w:r>
    </w:p>
    <w:p w:rsidR="0010331B" w:rsidRPr="00407042" w:rsidRDefault="0010331B" w:rsidP="0010331B">
      <w:pPr>
        <w:numPr>
          <w:ilvl w:val="2"/>
          <w:numId w:val="1"/>
        </w:numPr>
        <w:spacing w:after="160" w:line="259" w:lineRule="auto"/>
        <w:rPr>
          <w:sz w:val="20"/>
          <w:szCs w:val="20"/>
        </w:rPr>
      </w:pPr>
      <w:r w:rsidRPr="00407042">
        <w:rPr>
          <w:sz w:val="20"/>
          <w:szCs w:val="20"/>
        </w:rPr>
        <w:t>For insurances that still recognize this family of codes</w:t>
      </w:r>
    </w:p>
    <w:p w:rsidR="0010331B" w:rsidRPr="005554FD" w:rsidRDefault="0010331B" w:rsidP="005554FD">
      <w:pPr>
        <w:pStyle w:val="ListParagraph"/>
        <w:numPr>
          <w:ilvl w:val="2"/>
          <w:numId w:val="1"/>
        </w:numPr>
        <w:spacing w:after="160" w:line="259" w:lineRule="auto"/>
        <w:rPr>
          <w:sz w:val="20"/>
          <w:szCs w:val="20"/>
        </w:rPr>
      </w:pPr>
      <w:r w:rsidRPr="005554FD">
        <w:rPr>
          <w:sz w:val="20"/>
          <w:szCs w:val="20"/>
        </w:rPr>
        <w:t>99241 – 99245</w:t>
      </w:r>
    </w:p>
    <w:p w:rsidR="0010331B" w:rsidRPr="00407042" w:rsidRDefault="0010331B" w:rsidP="0010331B">
      <w:pPr>
        <w:numPr>
          <w:ilvl w:val="1"/>
          <w:numId w:val="1"/>
        </w:numPr>
        <w:spacing w:after="160" w:line="259" w:lineRule="auto"/>
        <w:rPr>
          <w:sz w:val="20"/>
          <w:szCs w:val="20"/>
        </w:rPr>
      </w:pPr>
      <w:r w:rsidRPr="00407042">
        <w:rPr>
          <w:sz w:val="20"/>
          <w:szCs w:val="20"/>
        </w:rPr>
        <w:t>Subsequent Hospital Care</w:t>
      </w:r>
    </w:p>
    <w:p w:rsidR="0010331B" w:rsidRPr="00407042" w:rsidRDefault="0010331B" w:rsidP="0010331B">
      <w:pPr>
        <w:numPr>
          <w:ilvl w:val="2"/>
          <w:numId w:val="1"/>
        </w:numPr>
        <w:spacing w:after="160" w:line="259" w:lineRule="auto"/>
        <w:rPr>
          <w:sz w:val="20"/>
          <w:szCs w:val="20"/>
        </w:rPr>
      </w:pPr>
      <w:r w:rsidRPr="00407042">
        <w:rPr>
          <w:sz w:val="20"/>
          <w:szCs w:val="20"/>
        </w:rPr>
        <w:t>99231 – 99233</w:t>
      </w:r>
    </w:p>
    <w:p w:rsidR="0010331B" w:rsidRPr="00407042" w:rsidRDefault="0010331B" w:rsidP="0010331B">
      <w:pPr>
        <w:numPr>
          <w:ilvl w:val="1"/>
          <w:numId w:val="1"/>
        </w:numPr>
        <w:spacing w:after="160" w:line="259" w:lineRule="auto"/>
        <w:rPr>
          <w:sz w:val="20"/>
          <w:szCs w:val="20"/>
        </w:rPr>
      </w:pPr>
      <w:r w:rsidRPr="00407042">
        <w:rPr>
          <w:sz w:val="20"/>
          <w:szCs w:val="20"/>
        </w:rPr>
        <w:t>Inpatient Consultation</w:t>
      </w:r>
    </w:p>
    <w:p w:rsidR="0010331B" w:rsidRPr="00407042" w:rsidRDefault="0010331B" w:rsidP="0010331B">
      <w:pPr>
        <w:numPr>
          <w:ilvl w:val="2"/>
          <w:numId w:val="1"/>
        </w:numPr>
        <w:spacing w:after="160" w:line="259" w:lineRule="auto"/>
        <w:rPr>
          <w:sz w:val="20"/>
          <w:szCs w:val="20"/>
        </w:rPr>
      </w:pPr>
      <w:r w:rsidRPr="00407042">
        <w:rPr>
          <w:sz w:val="20"/>
          <w:szCs w:val="20"/>
        </w:rPr>
        <w:t>99251 – 99255</w:t>
      </w:r>
    </w:p>
    <w:p w:rsidR="0010331B" w:rsidRPr="00407042" w:rsidRDefault="0010331B" w:rsidP="0010331B">
      <w:pPr>
        <w:numPr>
          <w:ilvl w:val="1"/>
          <w:numId w:val="1"/>
        </w:numPr>
        <w:spacing w:after="160" w:line="259" w:lineRule="auto"/>
        <w:rPr>
          <w:sz w:val="20"/>
          <w:szCs w:val="20"/>
        </w:rPr>
      </w:pPr>
      <w:r w:rsidRPr="00407042">
        <w:rPr>
          <w:sz w:val="20"/>
          <w:szCs w:val="20"/>
        </w:rPr>
        <w:t>Subsequent Nursing Facility Care</w:t>
      </w:r>
    </w:p>
    <w:p w:rsidR="0010331B" w:rsidRPr="00407042" w:rsidRDefault="0010331B" w:rsidP="0010331B">
      <w:pPr>
        <w:numPr>
          <w:ilvl w:val="2"/>
          <w:numId w:val="1"/>
        </w:numPr>
        <w:spacing w:after="160" w:line="259" w:lineRule="auto"/>
        <w:rPr>
          <w:sz w:val="20"/>
          <w:szCs w:val="20"/>
        </w:rPr>
      </w:pPr>
      <w:r w:rsidRPr="00407042">
        <w:rPr>
          <w:sz w:val="20"/>
          <w:szCs w:val="20"/>
        </w:rPr>
        <w:t>99307-99310</w:t>
      </w:r>
    </w:p>
    <w:p w:rsidR="0010331B" w:rsidRPr="0042494F" w:rsidRDefault="0010331B" w:rsidP="0042494F">
      <w:pPr>
        <w:numPr>
          <w:ilvl w:val="0"/>
          <w:numId w:val="1"/>
        </w:numPr>
        <w:spacing w:after="160" w:line="259" w:lineRule="auto"/>
        <w:rPr>
          <w:sz w:val="20"/>
          <w:szCs w:val="20"/>
        </w:rPr>
      </w:pPr>
      <w:r w:rsidRPr="00407042">
        <w:rPr>
          <w:sz w:val="20"/>
          <w:szCs w:val="20"/>
        </w:rPr>
        <w:t>Append modifier -95 Synchronous telemedicine service rendered via a real-time interactive audio and video telecommunications systems.</w:t>
      </w:r>
      <w:r w:rsidR="00876D76">
        <w:rPr>
          <w:sz w:val="20"/>
          <w:szCs w:val="20"/>
        </w:rPr>
        <w:t xml:space="preserve"> </w:t>
      </w:r>
      <w:r w:rsidR="0042494F">
        <w:rPr>
          <w:sz w:val="20"/>
          <w:szCs w:val="20"/>
        </w:rPr>
        <w:t xml:space="preserve"> </w:t>
      </w:r>
      <w:r w:rsidR="0042494F" w:rsidRPr="0042494F">
        <w:rPr>
          <w:rFonts w:ascii="Cambria" w:hAnsi="Cambria" w:cs="Arial"/>
          <w:b/>
          <w:color w:val="3366FF"/>
          <w:sz w:val="20"/>
          <w:szCs w:val="20"/>
        </w:rPr>
        <w:t>Guidance from Independence Blue Cross</w:t>
      </w:r>
      <w:r w:rsidR="0042494F" w:rsidRPr="00876D76">
        <w:rPr>
          <w:rFonts w:ascii="Cambria" w:hAnsi="Cambria" w:cs="Arial"/>
          <w:color w:val="3366FF"/>
          <w:sz w:val="20"/>
          <w:szCs w:val="20"/>
        </w:rPr>
        <w:t>: Professional providers performing telemedicine services must report the appropriate modifier (Modifier GT or 95) and place-of-service (POS) code 02 (</w:t>
      </w:r>
      <w:proofErr w:type="spellStart"/>
      <w:r w:rsidR="0042494F" w:rsidRPr="00876D76">
        <w:rPr>
          <w:rFonts w:ascii="Cambria" w:hAnsi="Cambria" w:cs="Arial"/>
          <w:color w:val="3366FF"/>
          <w:sz w:val="20"/>
          <w:szCs w:val="20"/>
        </w:rPr>
        <w:t>Telehealth</w:t>
      </w:r>
      <w:proofErr w:type="spellEnd"/>
      <w:r w:rsidR="0042494F" w:rsidRPr="00876D76">
        <w:rPr>
          <w:rFonts w:ascii="Cambria" w:hAnsi="Cambria" w:cs="Arial"/>
          <w:color w:val="3366FF"/>
          <w:sz w:val="20"/>
          <w:szCs w:val="20"/>
        </w:rPr>
        <w:t>) to ensure payment of eligible telemedicine services</w:t>
      </w:r>
      <w:r w:rsidR="0042494F" w:rsidRPr="00876D76">
        <w:rPr>
          <w:rFonts w:ascii="Arial" w:hAnsi="Arial" w:cs="Arial"/>
          <w:color w:val="3366FF"/>
        </w:rPr>
        <w:t>.</w:t>
      </w:r>
    </w:p>
    <w:p w:rsidR="0042494F" w:rsidRDefault="00C24774" w:rsidP="0042494F">
      <w:pPr>
        <w:spacing w:after="160" w:line="240" w:lineRule="auto"/>
        <w:ind w:left="720"/>
        <w:rPr>
          <w:b/>
          <w:color w:val="3366FF"/>
          <w:sz w:val="20"/>
          <w:szCs w:val="20"/>
        </w:rPr>
      </w:pPr>
      <w:r>
        <w:rPr>
          <w:color w:val="3366FF"/>
          <w:sz w:val="20"/>
          <w:szCs w:val="20"/>
        </w:rPr>
        <w:t xml:space="preserve">Typically these codes are allowed only in counties outside a Metropolitan Statistical Area (MSA) or in a rural Health Professional Shortage Area (HPSA) in a rural census tract. </w:t>
      </w:r>
      <w:r w:rsidR="0042494F">
        <w:rPr>
          <w:b/>
          <w:color w:val="3366FF"/>
          <w:sz w:val="20"/>
          <w:szCs w:val="20"/>
        </w:rPr>
        <w:t>We have been told</w:t>
      </w:r>
      <w:r w:rsidRPr="00C24774">
        <w:rPr>
          <w:b/>
          <w:color w:val="3366FF"/>
          <w:sz w:val="20"/>
          <w:szCs w:val="20"/>
        </w:rPr>
        <w:t xml:space="preserve"> that CMS </w:t>
      </w:r>
      <w:r w:rsidR="0042494F">
        <w:rPr>
          <w:b/>
          <w:color w:val="3366FF"/>
          <w:sz w:val="20"/>
          <w:szCs w:val="20"/>
        </w:rPr>
        <w:t>plans to</w:t>
      </w:r>
      <w:r w:rsidRPr="00C24774">
        <w:rPr>
          <w:b/>
          <w:color w:val="3366FF"/>
          <w:sz w:val="20"/>
          <w:szCs w:val="20"/>
        </w:rPr>
        <w:t xml:space="preserve"> waive these requirements during the COVID-19 Pandemic</w:t>
      </w:r>
      <w:r w:rsidR="0042494F">
        <w:rPr>
          <w:b/>
          <w:color w:val="3366FF"/>
          <w:sz w:val="20"/>
          <w:szCs w:val="20"/>
        </w:rPr>
        <w:t>. This was just announced by President Trump, and notification is felt to be imminent.</w:t>
      </w:r>
      <w:r w:rsidR="0042494F" w:rsidRPr="00876D76">
        <w:rPr>
          <w:rFonts w:ascii="Arial" w:hAnsi="Arial" w:cs="Arial"/>
          <w:color w:val="3366FF"/>
        </w:rPr>
        <w:br/>
      </w:r>
    </w:p>
    <w:p w:rsidR="006571A9" w:rsidRPr="00C24774" w:rsidRDefault="006571A9" w:rsidP="0042494F">
      <w:pPr>
        <w:spacing w:after="160" w:line="240" w:lineRule="auto"/>
        <w:ind w:left="720"/>
        <w:rPr>
          <w:b/>
          <w:color w:val="3366FF"/>
          <w:sz w:val="20"/>
          <w:szCs w:val="20"/>
        </w:rPr>
      </w:pPr>
      <w:r w:rsidRPr="006571A9">
        <w:rPr>
          <w:b/>
          <w:color w:val="3366FF"/>
          <w:sz w:val="20"/>
          <w:szCs w:val="20"/>
        </w:rPr>
        <w:t>https://data.hrsa.gov/tools/shortage-area/hpsa-find</w:t>
      </w:r>
    </w:p>
    <w:p w:rsidR="005554FD" w:rsidRDefault="005554FD" w:rsidP="002E5213">
      <w:pPr>
        <w:spacing w:after="160" w:line="240" w:lineRule="auto"/>
        <w:ind w:left="720"/>
        <w:rPr>
          <w:color w:val="3366FF"/>
          <w:sz w:val="20"/>
          <w:szCs w:val="20"/>
        </w:rPr>
      </w:pPr>
      <w:r w:rsidRPr="005554FD">
        <w:rPr>
          <w:color w:val="3366FF"/>
          <w:sz w:val="20"/>
          <w:szCs w:val="20"/>
        </w:rPr>
        <w:t>These</w:t>
      </w:r>
      <w:r>
        <w:rPr>
          <w:color w:val="3366FF"/>
          <w:sz w:val="20"/>
          <w:szCs w:val="20"/>
        </w:rPr>
        <w:t xml:space="preserve"> visits require the same documentation as for </w:t>
      </w:r>
      <w:r w:rsidR="002E5213">
        <w:rPr>
          <w:color w:val="3366FF"/>
          <w:sz w:val="20"/>
          <w:szCs w:val="20"/>
        </w:rPr>
        <w:t>in office</w:t>
      </w:r>
      <w:r>
        <w:rPr>
          <w:color w:val="3366FF"/>
          <w:sz w:val="20"/>
          <w:szCs w:val="20"/>
        </w:rPr>
        <w:t xml:space="preserve"> E&amp;M visits. </w:t>
      </w:r>
      <w:r w:rsidR="00C24774">
        <w:rPr>
          <w:color w:val="3366FF"/>
          <w:sz w:val="20"/>
          <w:szCs w:val="20"/>
        </w:rPr>
        <w:t>These visits</w:t>
      </w:r>
      <w:r w:rsidR="002E5213">
        <w:rPr>
          <w:color w:val="3366FF"/>
          <w:sz w:val="20"/>
          <w:szCs w:val="20"/>
        </w:rPr>
        <w:t xml:space="preserve"> should document the same information as your EHR or paper templates that you are currently using.</w:t>
      </w:r>
      <w:r w:rsidR="00C24774">
        <w:rPr>
          <w:color w:val="3366FF"/>
          <w:sz w:val="20"/>
          <w:szCs w:val="20"/>
        </w:rPr>
        <w:t xml:space="preserve"> It is assumed technicians could be used remotely similarly to how they are utilized in the office, but there is no guidance on this.</w:t>
      </w:r>
    </w:p>
    <w:p w:rsidR="002E5213" w:rsidRPr="005554FD" w:rsidRDefault="002E5213" w:rsidP="002E5213">
      <w:pPr>
        <w:spacing w:after="160" w:line="240" w:lineRule="auto"/>
        <w:ind w:left="720"/>
        <w:rPr>
          <w:color w:val="3366FF"/>
          <w:sz w:val="20"/>
          <w:szCs w:val="20"/>
        </w:rPr>
      </w:pPr>
      <w:r>
        <w:rPr>
          <w:color w:val="3366FF"/>
          <w:sz w:val="20"/>
          <w:szCs w:val="20"/>
        </w:rPr>
        <w:t xml:space="preserve">Per CMS </w:t>
      </w:r>
      <w:r w:rsidR="00C24774">
        <w:rPr>
          <w:color w:val="3366FF"/>
          <w:sz w:val="20"/>
          <w:szCs w:val="20"/>
        </w:rPr>
        <w:t>“Y</w:t>
      </w:r>
      <w:r>
        <w:rPr>
          <w:color w:val="3366FF"/>
          <w:sz w:val="20"/>
          <w:szCs w:val="20"/>
        </w:rPr>
        <w:t xml:space="preserve">ou must use an interactive </w:t>
      </w:r>
      <w:r w:rsidR="00C24774">
        <w:rPr>
          <w:color w:val="3366FF"/>
          <w:sz w:val="20"/>
          <w:szCs w:val="20"/>
        </w:rPr>
        <w:t>audio and video telecommunication system that permits real-time communication between you at the distant site and the beneficiary at the originating site” Transmitting information that is reviewed later is not allowed.</w:t>
      </w:r>
    </w:p>
    <w:p w:rsidR="0010331B" w:rsidRPr="00407042" w:rsidRDefault="0010331B" w:rsidP="0010331B">
      <w:pPr>
        <w:rPr>
          <w:sz w:val="20"/>
          <w:szCs w:val="20"/>
        </w:rPr>
      </w:pPr>
    </w:p>
    <w:p w:rsidR="007866E7" w:rsidRPr="0043157F" w:rsidRDefault="0010331B" w:rsidP="0043157F">
      <w:pPr>
        <w:rPr>
          <w:color w:val="0000FF" w:themeColor="hyperlink"/>
          <w:sz w:val="20"/>
          <w:szCs w:val="20"/>
          <w:u w:val="single"/>
        </w:rPr>
      </w:pPr>
      <w:r w:rsidRPr="00407042">
        <w:rPr>
          <w:sz w:val="20"/>
          <w:szCs w:val="20"/>
        </w:rPr>
        <w:t xml:space="preserve">Source:  </w:t>
      </w:r>
      <w:hyperlink r:id="rId6" w:history="1">
        <w:r w:rsidRPr="00407042">
          <w:rPr>
            <w:rStyle w:val="Hyperlink"/>
            <w:sz w:val="20"/>
            <w:szCs w:val="20"/>
          </w:rPr>
          <w:t>https://www.cms.gov/files/document/03052020-medicare-covid-19-fact-sheet.pdf</w:t>
        </w:r>
      </w:hyperlink>
    </w:p>
    <w:p w:rsidR="007866E7" w:rsidRPr="000C66B7" w:rsidRDefault="007866E7" w:rsidP="007866E7">
      <w:pPr>
        <w:spacing w:after="0" w:line="288" w:lineRule="atLeast"/>
        <w:outlineLvl w:val="1"/>
        <w:rPr>
          <w:rFonts w:ascii="Cambria" w:eastAsia="Times New Roman" w:hAnsi="Cambria" w:cs="Times New Roman"/>
          <w:color w:val="3366FF"/>
          <w:spacing w:val="4"/>
          <w:sz w:val="20"/>
          <w:szCs w:val="20"/>
        </w:rPr>
      </w:pPr>
      <w:r w:rsidRPr="000C66B7">
        <w:rPr>
          <w:rFonts w:ascii="Cambria" w:eastAsia="Times New Roman" w:hAnsi="Cambria" w:cs="Times New Roman"/>
          <w:color w:val="3366FF"/>
          <w:spacing w:val="4"/>
          <w:sz w:val="20"/>
          <w:szCs w:val="20"/>
        </w:rPr>
        <w:t xml:space="preserve">These codes </w:t>
      </w:r>
      <w:r w:rsidR="0043157F" w:rsidRPr="000C66B7">
        <w:rPr>
          <w:rFonts w:ascii="Cambria" w:eastAsia="Times New Roman" w:hAnsi="Cambria" w:cs="Times New Roman"/>
          <w:color w:val="3366FF"/>
          <w:spacing w:val="4"/>
          <w:sz w:val="20"/>
          <w:szCs w:val="20"/>
        </w:rPr>
        <w:t xml:space="preserve">for consultative service requested by another provider </w:t>
      </w:r>
      <w:r w:rsidRPr="000C66B7">
        <w:rPr>
          <w:rFonts w:ascii="Cambria" w:eastAsia="Times New Roman" w:hAnsi="Cambria" w:cs="Times New Roman"/>
          <w:color w:val="3366FF"/>
          <w:spacing w:val="4"/>
          <w:sz w:val="20"/>
          <w:szCs w:val="20"/>
        </w:rPr>
        <w:t>were not covered in the AAO document above:</w:t>
      </w:r>
    </w:p>
    <w:p w:rsidR="007866E7" w:rsidRPr="007866E7" w:rsidRDefault="007866E7" w:rsidP="007866E7">
      <w:pPr>
        <w:spacing w:after="0" w:line="288" w:lineRule="atLeast"/>
        <w:outlineLvl w:val="1"/>
        <w:rPr>
          <w:rFonts w:ascii="Cambria" w:eastAsia="Times New Roman" w:hAnsi="Cambria" w:cs="Times New Roman"/>
          <w:color w:val="3B494E"/>
          <w:spacing w:val="4"/>
          <w:sz w:val="20"/>
          <w:szCs w:val="20"/>
        </w:rPr>
      </w:pPr>
    </w:p>
    <w:p w:rsidR="007866E7" w:rsidRPr="007866E7" w:rsidRDefault="007866E7" w:rsidP="007866E7">
      <w:pPr>
        <w:spacing w:after="0" w:line="288" w:lineRule="atLeast"/>
        <w:outlineLvl w:val="1"/>
        <w:rPr>
          <w:rFonts w:ascii="Cambria" w:eastAsia="Times New Roman" w:hAnsi="Cambria" w:cs="Times New Roman"/>
          <w:color w:val="3B494E"/>
          <w:spacing w:val="4"/>
          <w:sz w:val="20"/>
          <w:szCs w:val="20"/>
        </w:rPr>
      </w:pPr>
      <w:r w:rsidRPr="007866E7">
        <w:rPr>
          <w:rFonts w:ascii="Cambria" w:eastAsia="Times New Roman" w:hAnsi="Cambria" w:cs="Times New Roman"/>
          <w:color w:val="3B494E"/>
          <w:spacing w:val="4"/>
          <w:sz w:val="20"/>
          <w:szCs w:val="20"/>
        </w:rPr>
        <w:t>Reimbursement for Inter</w:t>
      </w:r>
      <w:r w:rsidR="0043157F">
        <w:rPr>
          <w:rFonts w:ascii="Cambria" w:eastAsia="Times New Roman" w:hAnsi="Cambria" w:cs="Times New Roman"/>
          <w:color w:val="3B494E"/>
          <w:spacing w:val="4"/>
          <w:sz w:val="20"/>
          <w:szCs w:val="20"/>
        </w:rPr>
        <w:t>-</w:t>
      </w:r>
      <w:r w:rsidRPr="007866E7">
        <w:rPr>
          <w:rFonts w:ascii="Cambria" w:eastAsia="Times New Roman" w:hAnsi="Cambria" w:cs="Times New Roman"/>
          <w:color w:val="3B494E"/>
          <w:spacing w:val="4"/>
          <w:sz w:val="20"/>
          <w:szCs w:val="20"/>
        </w:rPr>
        <w:t>professional Internet Consultation</w:t>
      </w:r>
    </w:p>
    <w:p w:rsidR="007866E7" w:rsidRDefault="007866E7" w:rsidP="007866E7">
      <w:pPr>
        <w:spacing w:after="0" w:line="288" w:lineRule="atLeast"/>
        <w:outlineLvl w:val="1"/>
        <w:rPr>
          <w:rFonts w:ascii="Cambria" w:eastAsia="Times New Roman" w:hAnsi="Cambria" w:cs="Times New Roman"/>
          <w:color w:val="3B494E"/>
          <w:spacing w:val="4"/>
          <w:sz w:val="20"/>
          <w:szCs w:val="20"/>
        </w:rPr>
      </w:pPr>
      <w:r w:rsidRPr="007866E7">
        <w:rPr>
          <w:rFonts w:ascii="Cambria" w:eastAsia="Times New Roman" w:hAnsi="Cambria" w:cs="Times New Roman"/>
          <w:color w:val="3B494E"/>
          <w:spacing w:val="4"/>
          <w:sz w:val="20"/>
          <w:szCs w:val="20"/>
        </w:rPr>
        <w:t>CPT Codes 99446-99449, 99451, and 99452</w:t>
      </w:r>
    </w:p>
    <w:p w:rsidR="007866E7" w:rsidRPr="007866E7" w:rsidRDefault="007866E7" w:rsidP="007866E7">
      <w:pPr>
        <w:spacing w:before="100" w:beforeAutospacing="1" w:after="100" w:afterAutospacing="1" w:line="240" w:lineRule="auto"/>
        <w:rPr>
          <w:rFonts w:eastAsiaTheme="minorEastAsia" w:cs="Times New Roman"/>
          <w:color w:val="3B494E"/>
          <w:spacing w:val="11"/>
          <w:sz w:val="20"/>
          <w:szCs w:val="20"/>
        </w:rPr>
      </w:pPr>
      <w:r>
        <w:rPr>
          <w:rFonts w:eastAsiaTheme="minorEastAsia" w:cs="Times New Roman"/>
          <w:iCs/>
          <w:color w:val="3B494E"/>
          <w:spacing w:val="11"/>
          <w:sz w:val="20"/>
          <w:szCs w:val="20"/>
        </w:rPr>
        <w:t xml:space="preserve">Assessment and Management codes </w:t>
      </w:r>
      <w:r w:rsidRPr="007866E7">
        <w:rPr>
          <w:rFonts w:eastAsiaTheme="minorEastAsia" w:cs="Times New Roman"/>
          <w:iCs/>
          <w:color w:val="3B494E"/>
          <w:spacing w:val="11"/>
          <w:sz w:val="20"/>
          <w:szCs w:val="20"/>
        </w:rPr>
        <w:t>conducted through telephone, internet, or electronic health record consultations furnished when a patient’s treating physician or other qualified healthcare professional requests the opinion and/or treatment advice of a consulting physician with specific specialty expertise to assist with the diagnosis and/or management of the patient’s problem without the need for the patient’s face-to-face contact with the consulting physician or qualified healthcare professional.</w:t>
      </w:r>
    </w:p>
    <w:p w:rsidR="007866E7" w:rsidRPr="00A21BE2" w:rsidRDefault="007866E7" w:rsidP="007866E7">
      <w:pPr>
        <w:spacing w:before="100" w:beforeAutospacing="1" w:after="100" w:afterAutospacing="1" w:line="240" w:lineRule="auto"/>
        <w:rPr>
          <w:rFonts w:eastAsiaTheme="minorEastAsia" w:cs="Times New Roman"/>
          <w:color w:val="3B494E"/>
          <w:spacing w:val="11"/>
          <w:sz w:val="20"/>
          <w:szCs w:val="20"/>
        </w:rPr>
      </w:pPr>
      <w:r w:rsidRPr="00A21BE2">
        <w:rPr>
          <w:rFonts w:eastAsiaTheme="minorEastAsia" w:cs="Times New Roman"/>
          <w:b/>
          <w:bCs/>
          <w:color w:val="3B494E"/>
          <w:spacing w:val="11"/>
          <w:sz w:val="20"/>
          <w:szCs w:val="20"/>
          <w:u w:val="single"/>
        </w:rPr>
        <w:t>CPT 99446</w:t>
      </w:r>
      <w:r w:rsidRPr="00A21BE2">
        <w:rPr>
          <w:rFonts w:eastAsiaTheme="minorEastAsia" w:cs="Times New Roman"/>
          <w:color w:val="3B494E"/>
          <w:spacing w:val="11"/>
          <w:sz w:val="20"/>
          <w:szCs w:val="20"/>
        </w:rPr>
        <w:t xml:space="preserve">: </w:t>
      </w:r>
      <w:proofErr w:type="spellStart"/>
      <w:r w:rsidRPr="00A21BE2">
        <w:rPr>
          <w:rFonts w:eastAsiaTheme="minorEastAsia" w:cs="Times New Roman"/>
          <w:iCs/>
          <w:color w:val="3B494E"/>
          <w:spacing w:val="11"/>
          <w:sz w:val="20"/>
          <w:szCs w:val="20"/>
        </w:rPr>
        <w:t>Interprofessional</w:t>
      </w:r>
      <w:proofErr w:type="spellEnd"/>
      <w:r w:rsidRPr="00A21BE2">
        <w:rPr>
          <w:rFonts w:eastAsiaTheme="minorEastAsia" w:cs="Times New Roman"/>
          <w:iCs/>
          <w:color w:val="3B494E"/>
          <w:spacing w:val="11"/>
          <w:sz w:val="20"/>
          <w:szCs w:val="20"/>
        </w:rPr>
        <w:t xml:space="preserve"> telephone/Internet</w:t>
      </w:r>
      <w:r w:rsidR="00A21BE2" w:rsidRPr="00A21BE2">
        <w:rPr>
          <w:rFonts w:eastAsiaTheme="minorEastAsia" w:cs="Times New Roman"/>
          <w:iCs/>
          <w:color w:val="3B494E"/>
          <w:spacing w:val="11"/>
          <w:sz w:val="20"/>
          <w:szCs w:val="20"/>
        </w:rPr>
        <w:t xml:space="preserve"> electronic health record</w:t>
      </w:r>
      <w:r w:rsidRPr="00A21BE2">
        <w:rPr>
          <w:rFonts w:eastAsiaTheme="minorEastAsia" w:cs="Times New Roman"/>
          <w:iCs/>
          <w:color w:val="3B494E"/>
          <w:spacing w:val="11"/>
          <w:sz w:val="20"/>
          <w:szCs w:val="20"/>
        </w:rPr>
        <w:t xml:space="preserve"> assessment and management service provided by a consultative physician including a </w:t>
      </w:r>
      <w:r w:rsidRPr="00A21BE2">
        <w:rPr>
          <w:rFonts w:eastAsiaTheme="minorEastAsia" w:cs="Times New Roman"/>
          <w:b/>
          <w:iCs/>
          <w:color w:val="3B494E"/>
          <w:spacing w:val="11"/>
          <w:sz w:val="20"/>
          <w:szCs w:val="20"/>
        </w:rPr>
        <w:t>verbal</w:t>
      </w:r>
      <w:r w:rsidRPr="00A21BE2">
        <w:rPr>
          <w:rFonts w:eastAsiaTheme="minorEastAsia" w:cs="Times New Roman"/>
          <w:iCs/>
          <w:color w:val="3B494E"/>
          <w:spacing w:val="11"/>
          <w:sz w:val="20"/>
          <w:szCs w:val="20"/>
        </w:rPr>
        <w:t xml:space="preserve"> and </w:t>
      </w:r>
      <w:r w:rsidRPr="00A21BE2">
        <w:rPr>
          <w:rFonts w:eastAsiaTheme="minorEastAsia" w:cs="Times New Roman"/>
          <w:b/>
          <w:iCs/>
          <w:color w:val="3B494E"/>
          <w:spacing w:val="11"/>
          <w:sz w:val="20"/>
          <w:szCs w:val="20"/>
        </w:rPr>
        <w:t>written</w:t>
      </w:r>
      <w:r w:rsidRPr="00A21BE2">
        <w:rPr>
          <w:rFonts w:eastAsiaTheme="minorEastAsia" w:cs="Times New Roman"/>
          <w:iCs/>
          <w:color w:val="3B494E"/>
          <w:spacing w:val="11"/>
          <w:sz w:val="20"/>
          <w:szCs w:val="20"/>
        </w:rPr>
        <w:t xml:space="preserve"> report to the patient's treating/requesting physician or other qualified health care professional; </w:t>
      </w:r>
      <w:r w:rsidRPr="00A21BE2">
        <w:rPr>
          <w:rFonts w:eastAsiaTheme="minorEastAsia" w:cs="Times New Roman"/>
          <w:b/>
          <w:bCs/>
          <w:iCs/>
          <w:color w:val="3B494E"/>
          <w:spacing w:val="11"/>
          <w:sz w:val="20"/>
          <w:szCs w:val="20"/>
        </w:rPr>
        <w:t>5-10 minutes</w:t>
      </w:r>
      <w:r w:rsidRPr="00A21BE2">
        <w:rPr>
          <w:rFonts w:eastAsiaTheme="minorEastAsia" w:cs="Times New Roman"/>
          <w:iCs/>
          <w:color w:val="3B494E"/>
          <w:spacing w:val="11"/>
          <w:sz w:val="20"/>
          <w:szCs w:val="20"/>
        </w:rPr>
        <w:t xml:space="preserve"> of medical consultative discussion and review</w:t>
      </w:r>
    </w:p>
    <w:p w:rsidR="007866E7" w:rsidRPr="00A21BE2" w:rsidRDefault="007866E7" w:rsidP="007866E7">
      <w:pPr>
        <w:spacing w:before="100" w:beforeAutospacing="1" w:after="100" w:afterAutospacing="1" w:line="240" w:lineRule="auto"/>
        <w:rPr>
          <w:rFonts w:eastAsiaTheme="minorEastAsia" w:cs="Times New Roman"/>
          <w:color w:val="3B494E"/>
          <w:spacing w:val="11"/>
          <w:sz w:val="20"/>
          <w:szCs w:val="20"/>
        </w:rPr>
      </w:pPr>
      <w:r w:rsidRPr="00A21BE2">
        <w:rPr>
          <w:rFonts w:eastAsiaTheme="minorEastAsia" w:cs="Times New Roman"/>
          <w:b/>
          <w:bCs/>
          <w:color w:val="3B494E"/>
          <w:spacing w:val="11"/>
          <w:sz w:val="20"/>
          <w:szCs w:val="20"/>
          <w:u w:val="single"/>
        </w:rPr>
        <w:t>CPT 99447</w:t>
      </w:r>
      <w:r w:rsidRPr="00A21BE2">
        <w:rPr>
          <w:rFonts w:eastAsiaTheme="minorEastAsia" w:cs="Times New Roman"/>
          <w:color w:val="3B494E"/>
          <w:spacing w:val="11"/>
          <w:sz w:val="20"/>
          <w:szCs w:val="20"/>
        </w:rPr>
        <w:t xml:space="preserve">: Same as 99446, but </w:t>
      </w:r>
      <w:r w:rsidRPr="00A21BE2">
        <w:rPr>
          <w:rFonts w:eastAsiaTheme="minorEastAsia" w:cs="Times New Roman"/>
          <w:b/>
          <w:bCs/>
          <w:iCs/>
          <w:color w:val="3B494E"/>
          <w:spacing w:val="11"/>
          <w:sz w:val="20"/>
          <w:szCs w:val="20"/>
        </w:rPr>
        <w:t>11-20 minutes</w:t>
      </w:r>
      <w:r w:rsidRPr="00A21BE2">
        <w:rPr>
          <w:rFonts w:eastAsiaTheme="minorEastAsia" w:cs="Times New Roman"/>
          <w:iCs/>
          <w:color w:val="3B494E"/>
          <w:spacing w:val="11"/>
          <w:sz w:val="20"/>
          <w:szCs w:val="20"/>
        </w:rPr>
        <w:t xml:space="preserve"> of medical consultative discussion and review</w:t>
      </w:r>
    </w:p>
    <w:p w:rsidR="007866E7" w:rsidRPr="00A21BE2" w:rsidRDefault="007866E7" w:rsidP="007866E7">
      <w:pPr>
        <w:spacing w:before="100" w:beforeAutospacing="1" w:after="100" w:afterAutospacing="1" w:line="240" w:lineRule="auto"/>
        <w:rPr>
          <w:rFonts w:eastAsiaTheme="minorEastAsia" w:cs="Times New Roman"/>
          <w:color w:val="3B494E"/>
          <w:spacing w:val="11"/>
          <w:sz w:val="20"/>
          <w:szCs w:val="20"/>
        </w:rPr>
      </w:pPr>
      <w:r w:rsidRPr="00A21BE2">
        <w:rPr>
          <w:rFonts w:eastAsiaTheme="minorEastAsia" w:cs="Times New Roman"/>
          <w:b/>
          <w:bCs/>
          <w:color w:val="3B494E"/>
          <w:spacing w:val="11"/>
          <w:sz w:val="20"/>
          <w:szCs w:val="20"/>
          <w:u w:val="single"/>
        </w:rPr>
        <w:t>CPT 99448</w:t>
      </w:r>
      <w:r w:rsidRPr="00A21BE2">
        <w:rPr>
          <w:rFonts w:eastAsiaTheme="minorEastAsia" w:cs="Times New Roman"/>
          <w:color w:val="3B494E"/>
          <w:spacing w:val="11"/>
          <w:sz w:val="20"/>
          <w:szCs w:val="20"/>
        </w:rPr>
        <w:t xml:space="preserve">: Same as 99446, but </w:t>
      </w:r>
      <w:r w:rsidRPr="00A21BE2">
        <w:rPr>
          <w:rFonts w:eastAsiaTheme="minorEastAsia" w:cs="Times New Roman"/>
          <w:b/>
          <w:bCs/>
          <w:iCs/>
          <w:color w:val="3B494E"/>
          <w:spacing w:val="11"/>
          <w:sz w:val="20"/>
          <w:szCs w:val="20"/>
        </w:rPr>
        <w:t>21-30 minutes</w:t>
      </w:r>
      <w:r w:rsidRPr="00A21BE2">
        <w:rPr>
          <w:rFonts w:eastAsiaTheme="minorEastAsia" w:cs="Times New Roman"/>
          <w:iCs/>
          <w:color w:val="3B494E"/>
          <w:spacing w:val="11"/>
          <w:sz w:val="20"/>
          <w:szCs w:val="20"/>
        </w:rPr>
        <w:t xml:space="preserve"> of medical consultative discussion and review</w:t>
      </w:r>
    </w:p>
    <w:p w:rsidR="007866E7" w:rsidRPr="00A21BE2" w:rsidRDefault="007866E7" w:rsidP="007866E7">
      <w:pPr>
        <w:spacing w:before="100" w:beforeAutospacing="1" w:after="100" w:afterAutospacing="1" w:line="240" w:lineRule="auto"/>
        <w:rPr>
          <w:rFonts w:eastAsiaTheme="minorEastAsia" w:cs="Times New Roman"/>
          <w:color w:val="3B494E"/>
          <w:spacing w:val="11"/>
          <w:sz w:val="20"/>
          <w:szCs w:val="20"/>
        </w:rPr>
      </w:pPr>
      <w:r w:rsidRPr="00A21BE2">
        <w:rPr>
          <w:rFonts w:eastAsiaTheme="minorEastAsia" w:cs="Times New Roman"/>
          <w:b/>
          <w:bCs/>
          <w:color w:val="3B494E"/>
          <w:spacing w:val="11"/>
          <w:sz w:val="20"/>
          <w:szCs w:val="20"/>
          <w:u w:val="single"/>
        </w:rPr>
        <w:t>CPT 99449</w:t>
      </w:r>
      <w:r w:rsidRPr="00A21BE2">
        <w:rPr>
          <w:rFonts w:eastAsiaTheme="minorEastAsia" w:cs="Times New Roman"/>
          <w:color w:val="3B494E"/>
          <w:spacing w:val="11"/>
          <w:sz w:val="20"/>
          <w:szCs w:val="20"/>
        </w:rPr>
        <w:t xml:space="preserve">: Same as 99446, but </w:t>
      </w:r>
      <w:r w:rsidRPr="00A21BE2">
        <w:rPr>
          <w:rFonts w:eastAsiaTheme="minorEastAsia" w:cs="Times New Roman"/>
          <w:b/>
          <w:bCs/>
          <w:iCs/>
          <w:color w:val="3B494E"/>
          <w:spacing w:val="11"/>
          <w:sz w:val="20"/>
          <w:szCs w:val="20"/>
        </w:rPr>
        <w:t>31 minutes or more</w:t>
      </w:r>
      <w:r w:rsidRPr="00A21BE2">
        <w:rPr>
          <w:rFonts w:eastAsiaTheme="minorEastAsia" w:cs="Times New Roman"/>
          <w:iCs/>
          <w:color w:val="3B494E"/>
          <w:spacing w:val="11"/>
          <w:sz w:val="20"/>
          <w:szCs w:val="20"/>
        </w:rPr>
        <w:t xml:space="preserve"> of medical consultative discussion and review</w:t>
      </w:r>
    </w:p>
    <w:p w:rsidR="00A21BE2" w:rsidRPr="0043157F" w:rsidRDefault="0043157F" w:rsidP="007866E7">
      <w:pPr>
        <w:spacing w:before="100" w:beforeAutospacing="1" w:after="100" w:afterAutospacing="1" w:line="240" w:lineRule="auto"/>
        <w:rPr>
          <w:rFonts w:ascii="Cambria" w:eastAsiaTheme="minorEastAsia" w:hAnsi="Cambria" w:cs="Times New Roman"/>
          <w:bCs/>
          <w:color w:val="3366FF"/>
          <w:spacing w:val="11"/>
          <w:sz w:val="20"/>
          <w:szCs w:val="20"/>
        </w:rPr>
      </w:pPr>
      <w:r w:rsidRPr="0043157F">
        <w:rPr>
          <w:rFonts w:ascii="Cambria" w:eastAsiaTheme="minorEastAsia" w:hAnsi="Cambria" w:cs="Times New Roman"/>
          <w:bCs/>
          <w:color w:val="3366FF"/>
          <w:spacing w:val="11"/>
          <w:sz w:val="20"/>
          <w:szCs w:val="20"/>
        </w:rPr>
        <w:t>The</w:t>
      </w:r>
      <w:r w:rsidR="00A21BE2" w:rsidRPr="0043157F">
        <w:rPr>
          <w:rFonts w:ascii="Cambria" w:eastAsiaTheme="minorEastAsia" w:hAnsi="Cambria" w:cs="Times New Roman"/>
          <w:bCs/>
          <w:color w:val="3366FF"/>
          <w:spacing w:val="11"/>
          <w:sz w:val="20"/>
          <w:szCs w:val="20"/>
        </w:rPr>
        <w:t xml:space="preserve"> codes</w:t>
      </w:r>
      <w:r w:rsidRPr="0043157F">
        <w:rPr>
          <w:rFonts w:ascii="Cambria" w:eastAsiaTheme="minorEastAsia" w:hAnsi="Cambria" w:cs="Times New Roman"/>
          <w:bCs/>
          <w:color w:val="3366FF"/>
          <w:spacing w:val="11"/>
          <w:sz w:val="20"/>
          <w:szCs w:val="20"/>
        </w:rPr>
        <w:t xml:space="preserve"> above</w:t>
      </w:r>
      <w:r w:rsidR="00A21BE2" w:rsidRPr="0043157F">
        <w:rPr>
          <w:rFonts w:ascii="Cambria" w:eastAsiaTheme="minorEastAsia" w:hAnsi="Cambria" w:cs="Times New Roman"/>
          <w:bCs/>
          <w:color w:val="3366FF"/>
          <w:spacing w:val="11"/>
          <w:sz w:val="20"/>
          <w:szCs w:val="20"/>
        </w:rPr>
        <w:t xml:space="preserve"> require </w:t>
      </w:r>
      <w:r w:rsidRPr="0043157F">
        <w:rPr>
          <w:rFonts w:ascii="Cambria" w:eastAsiaTheme="minorEastAsia" w:hAnsi="Cambria" w:cs="Times New Roman"/>
          <w:bCs/>
          <w:color w:val="3366FF"/>
          <w:spacing w:val="11"/>
          <w:sz w:val="20"/>
          <w:szCs w:val="20"/>
        </w:rPr>
        <w:t xml:space="preserve">a consultation from another qualified provider and both written and oral </w:t>
      </w:r>
      <w:r>
        <w:rPr>
          <w:rFonts w:ascii="Cambria" w:eastAsiaTheme="minorEastAsia" w:hAnsi="Cambria" w:cs="Times New Roman"/>
          <w:bCs/>
          <w:color w:val="3366FF"/>
          <w:spacing w:val="11"/>
          <w:sz w:val="20"/>
          <w:szCs w:val="20"/>
        </w:rPr>
        <w:t>report</w:t>
      </w:r>
    </w:p>
    <w:p w:rsidR="007866E7" w:rsidRDefault="007866E7" w:rsidP="007866E7">
      <w:pPr>
        <w:spacing w:before="100" w:beforeAutospacing="1" w:after="100" w:afterAutospacing="1" w:line="240" w:lineRule="auto"/>
        <w:rPr>
          <w:rFonts w:ascii="Cambria" w:eastAsiaTheme="minorEastAsia" w:hAnsi="Cambria" w:cs="Times New Roman"/>
          <w:iCs/>
          <w:color w:val="3B494E"/>
          <w:spacing w:val="11"/>
          <w:sz w:val="20"/>
          <w:szCs w:val="20"/>
        </w:rPr>
      </w:pPr>
      <w:r w:rsidRPr="00A21BE2">
        <w:rPr>
          <w:rFonts w:ascii="Cambria" w:eastAsiaTheme="minorEastAsia" w:hAnsi="Cambria" w:cs="Times New Roman"/>
          <w:b/>
          <w:bCs/>
          <w:color w:val="3B494E"/>
          <w:spacing w:val="11"/>
          <w:sz w:val="20"/>
          <w:szCs w:val="20"/>
          <w:u w:val="single"/>
        </w:rPr>
        <w:t>CPT 99451</w:t>
      </w:r>
      <w:r w:rsidRPr="00A21BE2">
        <w:rPr>
          <w:rFonts w:ascii="Cambria" w:eastAsiaTheme="minorEastAsia" w:hAnsi="Cambria" w:cs="Times New Roman"/>
          <w:color w:val="3B494E"/>
          <w:spacing w:val="11"/>
          <w:sz w:val="20"/>
          <w:szCs w:val="20"/>
        </w:rPr>
        <w:t xml:space="preserve">: </w:t>
      </w:r>
      <w:proofErr w:type="spellStart"/>
      <w:r w:rsidRPr="00A21BE2">
        <w:rPr>
          <w:rFonts w:ascii="Cambria" w:eastAsiaTheme="minorEastAsia" w:hAnsi="Cambria" w:cs="Times New Roman"/>
          <w:iCs/>
          <w:color w:val="3B494E"/>
          <w:spacing w:val="11"/>
          <w:sz w:val="20"/>
          <w:szCs w:val="20"/>
        </w:rPr>
        <w:t>Interprofessional</w:t>
      </w:r>
      <w:proofErr w:type="spellEnd"/>
      <w:r w:rsidRPr="00A21BE2">
        <w:rPr>
          <w:rFonts w:ascii="Cambria" w:eastAsiaTheme="minorEastAsia" w:hAnsi="Cambria" w:cs="Times New Roman"/>
          <w:iCs/>
          <w:color w:val="3B494E"/>
          <w:spacing w:val="11"/>
          <w:sz w:val="20"/>
          <w:szCs w:val="20"/>
        </w:rPr>
        <w:t xml:space="preserve"> telephone/Internet/electronic health record assessment and management service provided by a consultative physician including a written report to the patient’s treating/requesting physician or other qualified health care professional, </w:t>
      </w:r>
      <w:r w:rsidRPr="00A21BE2">
        <w:rPr>
          <w:rFonts w:ascii="Cambria" w:eastAsiaTheme="minorEastAsia" w:hAnsi="Cambria" w:cs="Times New Roman"/>
          <w:b/>
          <w:bCs/>
          <w:iCs/>
          <w:color w:val="3B494E"/>
          <w:spacing w:val="11"/>
          <w:sz w:val="20"/>
          <w:szCs w:val="20"/>
        </w:rPr>
        <w:t>5 or more minutes</w:t>
      </w:r>
      <w:r w:rsidRPr="00A21BE2">
        <w:rPr>
          <w:rFonts w:ascii="Cambria" w:eastAsiaTheme="minorEastAsia" w:hAnsi="Cambria" w:cs="Times New Roman"/>
          <w:iCs/>
          <w:color w:val="3B494E"/>
          <w:spacing w:val="11"/>
          <w:sz w:val="20"/>
          <w:szCs w:val="20"/>
        </w:rPr>
        <w:t xml:space="preserve"> of medical consultative time</w:t>
      </w:r>
    </w:p>
    <w:p w:rsidR="0043157F" w:rsidRPr="0043157F" w:rsidRDefault="0043157F" w:rsidP="007866E7">
      <w:pPr>
        <w:spacing w:before="100" w:beforeAutospacing="1" w:after="100" w:afterAutospacing="1" w:line="240" w:lineRule="auto"/>
        <w:rPr>
          <w:rFonts w:ascii="Cambria" w:eastAsiaTheme="minorEastAsia" w:hAnsi="Cambria" w:cs="Times New Roman"/>
          <w:color w:val="3B494E"/>
          <w:spacing w:val="11"/>
          <w:sz w:val="20"/>
          <w:szCs w:val="20"/>
        </w:rPr>
      </w:pPr>
      <w:r w:rsidRPr="0043157F">
        <w:rPr>
          <w:rFonts w:ascii="Cambria" w:eastAsiaTheme="minorEastAsia" w:hAnsi="Cambria" w:cs="Times New Roman"/>
          <w:iCs/>
          <w:color w:val="3366FF"/>
          <w:spacing w:val="11"/>
          <w:sz w:val="20"/>
          <w:szCs w:val="20"/>
        </w:rPr>
        <w:t>CPT 99541</w:t>
      </w:r>
      <w:r>
        <w:rPr>
          <w:rFonts w:ascii="Cambria" w:eastAsiaTheme="minorEastAsia" w:hAnsi="Cambria" w:cs="Times New Roman"/>
          <w:iCs/>
          <w:color w:val="3B494E"/>
          <w:spacing w:val="11"/>
          <w:sz w:val="20"/>
          <w:szCs w:val="20"/>
        </w:rPr>
        <w:t xml:space="preserve"> </w:t>
      </w:r>
      <w:r w:rsidRPr="0043157F">
        <w:rPr>
          <w:rFonts w:ascii="Cambria" w:eastAsiaTheme="minorEastAsia" w:hAnsi="Cambria" w:cs="Times New Roman"/>
          <w:bCs/>
          <w:color w:val="3366FF"/>
          <w:spacing w:val="11"/>
          <w:sz w:val="20"/>
          <w:szCs w:val="20"/>
        </w:rPr>
        <w:t>requires a consultation from another qualified provider but only a written report</w:t>
      </w:r>
    </w:p>
    <w:p w:rsidR="007866E7" w:rsidRDefault="007866E7" w:rsidP="007866E7">
      <w:pPr>
        <w:spacing w:before="100" w:beforeAutospacing="1" w:after="100" w:afterAutospacing="1" w:line="240" w:lineRule="auto"/>
        <w:rPr>
          <w:rFonts w:ascii="Cambria" w:eastAsiaTheme="minorEastAsia" w:hAnsi="Cambria" w:cs="Times New Roman"/>
          <w:bCs/>
          <w:iCs/>
          <w:color w:val="3366FF"/>
          <w:spacing w:val="11"/>
          <w:sz w:val="20"/>
          <w:szCs w:val="20"/>
        </w:rPr>
      </w:pPr>
      <w:r w:rsidRPr="00A21BE2">
        <w:rPr>
          <w:rFonts w:ascii="Cambria" w:eastAsiaTheme="minorEastAsia" w:hAnsi="Cambria" w:cs="Times New Roman"/>
          <w:b/>
          <w:bCs/>
          <w:color w:val="3B494E"/>
          <w:spacing w:val="11"/>
          <w:sz w:val="20"/>
          <w:szCs w:val="20"/>
          <w:u w:val="single"/>
        </w:rPr>
        <w:t>CPT 99452</w:t>
      </w:r>
      <w:r w:rsidRPr="00A21BE2">
        <w:rPr>
          <w:rFonts w:ascii="Cambria" w:eastAsiaTheme="minorEastAsia" w:hAnsi="Cambria" w:cs="Times New Roman"/>
          <w:color w:val="3B494E"/>
          <w:spacing w:val="11"/>
          <w:sz w:val="20"/>
          <w:szCs w:val="20"/>
        </w:rPr>
        <w:t xml:space="preserve">: </w:t>
      </w:r>
      <w:proofErr w:type="spellStart"/>
      <w:r w:rsidRPr="00A21BE2">
        <w:rPr>
          <w:rFonts w:ascii="Cambria" w:eastAsiaTheme="minorEastAsia" w:hAnsi="Cambria" w:cs="Times New Roman"/>
          <w:iCs/>
          <w:color w:val="3B494E"/>
          <w:spacing w:val="11"/>
          <w:sz w:val="20"/>
          <w:szCs w:val="20"/>
        </w:rPr>
        <w:t>Interprofessional</w:t>
      </w:r>
      <w:proofErr w:type="spellEnd"/>
      <w:r w:rsidRPr="00A21BE2">
        <w:rPr>
          <w:rFonts w:ascii="Cambria" w:eastAsiaTheme="minorEastAsia" w:hAnsi="Cambria" w:cs="Times New Roman"/>
          <w:iCs/>
          <w:color w:val="3B494E"/>
          <w:spacing w:val="11"/>
          <w:sz w:val="20"/>
          <w:szCs w:val="20"/>
        </w:rPr>
        <w:t xml:space="preserve"> telephone/Internet/electronic health record referral service(s) provided by a treating/requesting physician or qualified health care professional, </w:t>
      </w:r>
      <w:r w:rsidRPr="00A21BE2">
        <w:rPr>
          <w:rFonts w:ascii="Cambria" w:eastAsiaTheme="minorEastAsia" w:hAnsi="Cambria" w:cs="Times New Roman"/>
          <w:b/>
          <w:bCs/>
          <w:iCs/>
          <w:color w:val="3B494E"/>
          <w:spacing w:val="11"/>
          <w:sz w:val="20"/>
          <w:szCs w:val="20"/>
        </w:rPr>
        <w:t>30 minutes</w:t>
      </w:r>
      <w:r w:rsidR="00A21BE2">
        <w:rPr>
          <w:rFonts w:ascii="Cambria" w:eastAsiaTheme="minorEastAsia" w:hAnsi="Cambria" w:cs="Times New Roman"/>
          <w:b/>
          <w:bCs/>
          <w:iCs/>
          <w:color w:val="3B494E"/>
          <w:spacing w:val="11"/>
          <w:sz w:val="20"/>
          <w:szCs w:val="20"/>
        </w:rPr>
        <w:t xml:space="preserve"> </w:t>
      </w:r>
      <w:r w:rsidR="00A21BE2" w:rsidRPr="0043157F">
        <w:rPr>
          <w:rFonts w:ascii="Cambria" w:eastAsiaTheme="minorEastAsia" w:hAnsi="Cambria" w:cs="Times New Roman"/>
          <w:bCs/>
          <w:iCs/>
          <w:color w:val="3366FF"/>
          <w:spacing w:val="11"/>
          <w:sz w:val="20"/>
          <w:szCs w:val="20"/>
        </w:rPr>
        <w:t>(Note this is for the consulting physician to bill)</w:t>
      </w:r>
    </w:p>
    <w:p w:rsidR="0043157F" w:rsidRDefault="0043157F" w:rsidP="007866E7">
      <w:pPr>
        <w:spacing w:before="100" w:beforeAutospacing="1" w:after="100" w:afterAutospacing="1" w:line="240" w:lineRule="auto"/>
        <w:rPr>
          <w:rFonts w:ascii="Cambria" w:eastAsiaTheme="minorEastAsia" w:hAnsi="Cambria" w:cs="Times New Roman"/>
          <w:bCs/>
          <w:iCs/>
          <w:color w:val="3366FF"/>
          <w:spacing w:val="11"/>
          <w:sz w:val="20"/>
          <w:szCs w:val="20"/>
        </w:rPr>
      </w:pPr>
      <w:r>
        <w:rPr>
          <w:rFonts w:ascii="Cambria" w:eastAsiaTheme="minorEastAsia" w:hAnsi="Cambria" w:cs="Times New Roman"/>
          <w:bCs/>
          <w:iCs/>
          <w:color w:val="3366FF"/>
          <w:spacing w:val="11"/>
          <w:sz w:val="20"/>
          <w:szCs w:val="20"/>
        </w:rPr>
        <w:t>Please note that verbal consent must be documented in the patient’s chart for all of these codes</w:t>
      </w:r>
    </w:p>
    <w:p w:rsidR="000C66B7" w:rsidRDefault="000C66B7" w:rsidP="000C66B7">
      <w:pPr>
        <w:rPr>
          <w:rFonts w:eastAsia="Times New Roman" w:cs="Times New Roman"/>
          <w:b/>
          <w:color w:val="3B494E"/>
          <w:spacing w:val="11"/>
          <w:sz w:val="20"/>
          <w:szCs w:val="20"/>
          <w:shd w:val="clear" w:color="auto" w:fill="FFFFFF"/>
        </w:rPr>
      </w:pPr>
    </w:p>
    <w:p w:rsidR="000C66B7" w:rsidRDefault="000C66B7" w:rsidP="000C66B7">
      <w:pPr>
        <w:rPr>
          <w:rFonts w:eastAsia="Times New Roman" w:cs="Times New Roman"/>
          <w:b/>
          <w:color w:val="3B494E"/>
          <w:spacing w:val="11"/>
          <w:sz w:val="20"/>
          <w:szCs w:val="20"/>
          <w:shd w:val="clear" w:color="auto" w:fill="FFFFFF"/>
        </w:rPr>
      </w:pPr>
    </w:p>
    <w:p w:rsidR="000C66B7" w:rsidRDefault="000C66B7" w:rsidP="000C66B7">
      <w:pPr>
        <w:rPr>
          <w:rFonts w:eastAsia="Times New Roman" w:cs="Times New Roman"/>
          <w:b/>
          <w:color w:val="3B494E"/>
          <w:spacing w:val="11"/>
          <w:sz w:val="20"/>
          <w:szCs w:val="20"/>
          <w:shd w:val="clear" w:color="auto" w:fill="FFFFFF"/>
        </w:rPr>
      </w:pPr>
    </w:p>
    <w:p w:rsidR="000C66B7" w:rsidRDefault="000C66B7" w:rsidP="000C66B7">
      <w:pPr>
        <w:rPr>
          <w:rFonts w:eastAsiaTheme="minorEastAsia" w:cs="Times New Roman"/>
          <w:bCs/>
          <w:iCs/>
          <w:spacing w:val="11"/>
          <w:sz w:val="20"/>
          <w:szCs w:val="20"/>
        </w:rPr>
      </w:pPr>
      <w:r w:rsidRPr="000C66B7">
        <w:rPr>
          <w:rFonts w:eastAsia="Times New Roman" w:cs="Times New Roman"/>
          <w:b/>
          <w:color w:val="3B494E"/>
          <w:spacing w:val="11"/>
          <w:sz w:val="20"/>
          <w:szCs w:val="20"/>
          <w:shd w:val="clear" w:color="auto" w:fill="FFFFFF"/>
        </w:rPr>
        <w:t>HCPCS Code G2010</w:t>
      </w:r>
      <w:r w:rsidRPr="000C66B7">
        <w:rPr>
          <w:rFonts w:eastAsia="Times New Roman" w:cs="Times New Roman"/>
          <w:color w:val="3B494E"/>
          <w:spacing w:val="11"/>
          <w:sz w:val="20"/>
          <w:szCs w:val="20"/>
          <w:shd w:val="clear" w:color="auto" w:fill="FFFFFF"/>
        </w:rPr>
        <w:t xml:space="preserve"> </w:t>
      </w:r>
      <w:r w:rsidRPr="000C66B7">
        <w:rPr>
          <w:rFonts w:eastAsiaTheme="minorEastAsia" w:cs="Times New Roman"/>
          <w:bCs/>
          <w:iCs/>
          <w:spacing w:val="11"/>
          <w:sz w:val="20"/>
          <w:szCs w:val="20"/>
        </w:rPr>
        <w:t xml:space="preserve">Remote Evaluation of Images </w:t>
      </w:r>
    </w:p>
    <w:p w:rsidR="000C66B7" w:rsidRDefault="000C66B7" w:rsidP="000C66B7">
      <w:pPr>
        <w:spacing w:before="100" w:beforeAutospacing="1" w:after="100" w:afterAutospacing="1" w:line="240" w:lineRule="auto"/>
        <w:rPr>
          <w:rFonts w:ascii="Cambria" w:eastAsiaTheme="minorEastAsia" w:hAnsi="Cambria" w:cs="Times New Roman"/>
          <w:iCs/>
          <w:color w:val="3B494E"/>
          <w:spacing w:val="11"/>
          <w:sz w:val="20"/>
          <w:szCs w:val="20"/>
        </w:rPr>
      </w:pPr>
      <w:r w:rsidRPr="000C66B7">
        <w:rPr>
          <w:rFonts w:ascii="Cambria" w:eastAsiaTheme="minorEastAsia" w:hAnsi="Cambria" w:cs="Times New Roman"/>
          <w:b/>
          <w:iCs/>
          <w:color w:val="3B494E"/>
          <w:spacing w:val="11"/>
          <w:sz w:val="20"/>
          <w:szCs w:val="20"/>
        </w:rPr>
        <w:t>HCPCS G2010</w:t>
      </w:r>
      <w:r w:rsidRPr="000C66B7">
        <w:rPr>
          <w:rFonts w:ascii="Cambria" w:eastAsiaTheme="minorEastAsia" w:hAnsi="Cambria" w:cs="Times New Roman"/>
          <w:iCs/>
          <w:color w:val="3B494E"/>
          <w:spacing w:val="11"/>
          <w:sz w:val="20"/>
          <w:szCs w:val="20"/>
        </w:rPr>
        <w:t xml:space="preserve">: Remote evaluation of recorded video and/or images submitted by an established patient (e.g., store and forward), including interpretation </w:t>
      </w:r>
      <w:r w:rsidRPr="000C66B7">
        <w:rPr>
          <w:rFonts w:ascii="Cambria" w:eastAsiaTheme="minorEastAsia" w:hAnsi="Cambria" w:cs="Times New Roman"/>
          <w:b/>
          <w:iCs/>
          <w:color w:val="3B494E"/>
          <w:spacing w:val="11"/>
          <w:sz w:val="20"/>
          <w:szCs w:val="20"/>
        </w:rPr>
        <w:t>with follow-up with the patient within 24 business hours</w:t>
      </w:r>
      <w:r w:rsidRPr="000C66B7">
        <w:rPr>
          <w:rFonts w:ascii="Cambria" w:eastAsiaTheme="minorEastAsia" w:hAnsi="Cambria" w:cs="Times New Roman"/>
          <w:iCs/>
          <w:color w:val="3B494E"/>
          <w:spacing w:val="11"/>
          <w:sz w:val="20"/>
          <w:szCs w:val="20"/>
        </w:rPr>
        <w:t>, not originating from a related E/M service provided within the previous 7 days nor leading to an E/M service or procedure within the next 24 hours or soonest available appointment</w:t>
      </w:r>
    </w:p>
    <w:p w:rsidR="000C66B7" w:rsidRPr="000C66B7" w:rsidRDefault="000C66B7" w:rsidP="000C66B7">
      <w:pPr>
        <w:spacing w:before="100" w:beforeAutospacing="1" w:after="100" w:afterAutospacing="1" w:line="240" w:lineRule="auto"/>
        <w:rPr>
          <w:rFonts w:ascii="Cambria" w:eastAsiaTheme="minorEastAsia" w:hAnsi="Cambria" w:cs="Times New Roman"/>
          <w:color w:val="3366FF"/>
          <w:spacing w:val="11"/>
          <w:sz w:val="20"/>
          <w:szCs w:val="20"/>
        </w:rPr>
      </w:pPr>
      <w:r w:rsidRPr="000C66B7">
        <w:rPr>
          <w:rFonts w:ascii="Cambria" w:eastAsiaTheme="minorEastAsia" w:hAnsi="Cambria" w:cs="Times New Roman"/>
          <w:iCs/>
          <w:color w:val="3366FF"/>
          <w:spacing w:val="11"/>
          <w:sz w:val="20"/>
          <w:szCs w:val="20"/>
        </w:rPr>
        <w:t xml:space="preserve">This is ideally suited to ophthalmology after </w:t>
      </w:r>
      <w:r>
        <w:rPr>
          <w:rFonts w:ascii="Cambria" w:eastAsiaTheme="minorEastAsia" w:hAnsi="Cambria" w:cs="Times New Roman"/>
          <w:iCs/>
          <w:color w:val="3366FF"/>
          <w:spacing w:val="11"/>
          <w:sz w:val="20"/>
          <w:szCs w:val="20"/>
        </w:rPr>
        <w:t xml:space="preserve">a </w:t>
      </w:r>
      <w:r w:rsidRPr="000C66B7">
        <w:rPr>
          <w:rFonts w:ascii="Cambria" w:eastAsiaTheme="minorEastAsia" w:hAnsi="Cambria" w:cs="Times New Roman"/>
          <w:iCs/>
          <w:color w:val="3366FF"/>
          <w:spacing w:val="11"/>
          <w:sz w:val="20"/>
          <w:szCs w:val="20"/>
        </w:rPr>
        <w:t>patient submits an image to be reviewed. It cannot be billed if it is incident to a visit in the previous 7 days or leads to an appointment within 24 hours</w:t>
      </w:r>
      <w:r>
        <w:rPr>
          <w:rFonts w:ascii="Cambria" w:eastAsiaTheme="minorEastAsia" w:hAnsi="Cambria" w:cs="Times New Roman"/>
          <w:iCs/>
          <w:color w:val="3366FF"/>
          <w:spacing w:val="11"/>
          <w:sz w:val="20"/>
          <w:szCs w:val="20"/>
        </w:rPr>
        <w:t xml:space="preserve"> or soonest available appointment</w:t>
      </w:r>
      <w:r w:rsidRPr="000C66B7">
        <w:rPr>
          <w:rFonts w:ascii="Cambria" w:eastAsiaTheme="minorEastAsia" w:hAnsi="Cambria" w:cs="Times New Roman"/>
          <w:iCs/>
          <w:color w:val="3366FF"/>
          <w:spacing w:val="11"/>
          <w:sz w:val="20"/>
          <w:szCs w:val="20"/>
        </w:rPr>
        <w:t>.</w:t>
      </w:r>
      <w:r>
        <w:rPr>
          <w:rFonts w:ascii="Cambria" w:eastAsiaTheme="minorEastAsia" w:hAnsi="Cambria" w:cs="Times New Roman"/>
          <w:iCs/>
          <w:color w:val="3366FF"/>
          <w:spacing w:val="11"/>
          <w:sz w:val="20"/>
          <w:szCs w:val="20"/>
        </w:rPr>
        <w:t xml:space="preserve"> </w:t>
      </w:r>
    </w:p>
    <w:p w:rsidR="000C66B7" w:rsidRPr="000C66B7" w:rsidRDefault="000C66B7" w:rsidP="000C66B7">
      <w:pPr>
        <w:spacing w:after="0" w:line="240" w:lineRule="auto"/>
        <w:rPr>
          <w:rFonts w:ascii="Times New Roman" w:eastAsia="Times New Roman" w:hAnsi="Times New Roman" w:cs="Times New Roman"/>
          <w:sz w:val="20"/>
          <w:szCs w:val="20"/>
        </w:rPr>
      </w:pPr>
    </w:p>
    <w:p w:rsidR="000C66B7" w:rsidRDefault="000C66B7" w:rsidP="000C66B7">
      <w:pPr>
        <w:rPr>
          <w:rFonts w:eastAsiaTheme="minorEastAsia" w:cs="Times New Roman"/>
          <w:bCs/>
          <w:iCs/>
          <w:spacing w:val="11"/>
          <w:sz w:val="20"/>
          <w:szCs w:val="20"/>
        </w:rPr>
      </w:pPr>
    </w:p>
    <w:p w:rsidR="000C66B7" w:rsidRPr="000C66B7" w:rsidRDefault="000C66B7" w:rsidP="000C66B7">
      <w:pPr>
        <w:rPr>
          <w:rFonts w:eastAsia="Times New Roman" w:cs="Times New Roman"/>
          <w:sz w:val="20"/>
          <w:szCs w:val="20"/>
        </w:rPr>
      </w:pPr>
    </w:p>
    <w:p w:rsidR="000C66B7" w:rsidRPr="000C66B7" w:rsidRDefault="000C66B7" w:rsidP="007866E7">
      <w:pPr>
        <w:spacing w:before="100" w:beforeAutospacing="1" w:after="100" w:afterAutospacing="1" w:line="240" w:lineRule="auto"/>
        <w:rPr>
          <w:rFonts w:ascii="Cambria" w:eastAsiaTheme="minorEastAsia" w:hAnsi="Cambria" w:cs="Times New Roman"/>
          <w:bCs/>
          <w:iCs/>
          <w:spacing w:val="11"/>
          <w:sz w:val="20"/>
          <w:szCs w:val="20"/>
        </w:rPr>
      </w:pPr>
    </w:p>
    <w:p w:rsidR="007866E7" w:rsidRPr="007866E7" w:rsidRDefault="007866E7" w:rsidP="007866E7">
      <w:pPr>
        <w:spacing w:after="0" w:line="240" w:lineRule="auto"/>
        <w:rPr>
          <w:rFonts w:ascii="Times New Roman" w:eastAsia="Times New Roman" w:hAnsi="Times New Roman" w:cs="Times New Roman"/>
          <w:sz w:val="20"/>
          <w:szCs w:val="20"/>
        </w:rPr>
      </w:pPr>
    </w:p>
    <w:p w:rsidR="007866E7" w:rsidRPr="007866E7" w:rsidRDefault="007866E7" w:rsidP="007866E7">
      <w:pPr>
        <w:spacing w:after="0" w:line="288" w:lineRule="atLeast"/>
        <w:outlineLvl w:val="1"/>
        <w:rPr>
          <w:rFonts w:ascii="Cambria" w:eastAsia="Times New Roman" w:hAnsi="Cambria" w:cs="Times New Roman"/>
          <w:color w:val="3B494E"/>
          <w:spacing w:val="4"/>
          <w:sz w:val="20"/>
          <w:szCs w:val="20"/>
        </w:rPr>
      </w:pPr>
    </w:p>
    <w:p w:rsidR="007866E7" w:rsidRPr="00407042" w:rsidRDefault="007866E7" w:rsidP="0010331B">
      <w:pPr>
        <w:rPr>
          <w:sz w:val="20"/>
          <w:szCs w:val="20"/>
        </w:rPr>
      </w:pPr>
    </w:p>
    <w:p w:rsidR="0010331B" w:rsidRPr="00407042" w:rsidRDefault="0010331B" w:rsidP="0010331B">
      <w:pPr>
        <w:rPr>
          <w:sz w:val="20"/>
          <w:szCs w:val="20"/>
        </w:rPr>
      </w:pPr>
    </w:p>
    <w:p w:rsidR="005A762E" w:rsidRDefault="005A762E"/>
    <w:sectPr w:rsidR="005A762E" w:rsidSect="008604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B9E"/>
    <w:multiLevelType w:val="hybridMultilevel"/>
    <w:tmpl w:val="50BEE672"/>
    <w:lvl w:ilvl="0" w:tplc="DD3CEBFE">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B1D019B4">
      <w:start w:val="1"/>
      <w:numFmt w:val="bullet"/>
      <w:lvlText w:val="•"/>
      <w:lvlJc w:val="left"/>
      <w:pPr>
        <w:tabs>
          <w:tab w:val="num" w:pos="2520"/>
        </w:tabs>
        <w:ind w:left="2520" w:hanging="360"/>
      </w:pPr>
      <w:rPr>
        <w:rFonts w:ascii="Arial" w:hAnsi="Arial" w:hint="default"/>
      </w:rPr>
    </w:lvl>
    <w:lvl w:ilvl="3" w:tplc="85DEF46E">
      <w:start w:val="1"/>
      <w:numFmt w:val="bullet"/>
      <w:lvlText w:val="•"/>
      <w:lvlJc w:val="left"/>
      <w:pPr>
        <w:tabs>
          <w:tab w:val="num" w:pos="3240"/>
        </w:tabs>
        <w:ind w:left="3240" w:hanging="360"/>
      </w:pPr>
      <w:rPr>
        <w:rFonts w:ascii="Arial" w:hAnsi="Arial" w:hint="default"/>
      </w:rPr>
    </w:lvl>
    <w:lvl w:ilvl="4" w:tplc="C4D4715C" w:tentative="1">
      <w:start w:val="1"/>
      <w:numFmt w:val="bullet"/>
      <w:lvlText w:val="•"/>
      <w:lvlJc w:val="left"/>
      <w:pPr>
        <w:tabs>
          <w:tab w:val="num" w:pos="3960"/>
        </w:tabs>
        <w:ind w:left="3960" w:hanging="360"/>
      </w:pPr>
      <w:rPr>
        <w:rFonts w:ascii="Arial" w:hAnsi="Arial" w:hint="default"/>
      </w:rPr>
    </w:lvl>
    <w:lvl w:ilvl="5" w:tplc="39886A20" w:tentative="1">
      <w:start w:val="1"/>
      <w:numFmt w:val="bullet"/>
      <w:lvlText w:val="•"/>
      <w:lvlJc w:val="left"/>
      <w:pPr>
        <w:tabs>
          <w:tab w:val="num" w:pos="4680"/>
        </w:tabs>
        <w:ind w:left="4680" w:hanging="360"/>
      </w:pPr>
      <w:rPr>
        <w:rFonts w:ascii="Arial" w:hAnsi="Arial" w:hint="default"/>
      </w:rPr>
    </w:lvl>
    <w:lvl w:ilvl="6" w:tplc="B2B69DB6" w:tentative="1">
      <w:start w:val="1"/>
      <w:numFmt w:val="bullet"/>
      <w:lvlText w:val="•"/>
      <w:lvlJc w:val="left"/>
      <w:pPr>
        <w:tabs>
          <w:tab w:val="num" w:pos="5400"/>
        </w:tabs>
        <w:ind w:left="5400" w:hanging="360"/>
      </w:pPr>
      <w:rPr>
        <w:rFonts w:ascii="Arial" w:hAnsi="Arial" w:hint="default"/>
      </w:rPr>
    </w:lvl>
    <w:lvl w:ilvl="7" w:tplc="B82628E8" w:tentative="1">
      <w:start w:val="1"/>
      <w:numFmt w:val="bullet"/>
      <w:lvlText w:val="•"/>
      <w:lvlJc w:val="left"/>
      <w:pPr>
        <w:tabs>
          <w:tab w:val="num" w:pos="6120"/>
        </w:tabs>
        <w:ind w:left="6120" w:hanging="360"/>
      </w:pPr>
      <w:rPr>
        <w:rFonts w:ascii="Arial" w:hAnsi="Arial" w:hint="default"/>
      </w:rPr>
    </w:lvl>
    <w:lvl w:ilvl="8" w:tplc="D7B6E902" w:tentative="1">
      <w:start w:val="1"/>
      <w:numFmt w:val="bullet"/>
      <w:lvlText w:val="•"/>
      <w:lvlJc w:val="left"/>
      <w:pPr>
        <w:tabs>
          <w:tab w:val="num" w:pos="6840"/>
        </w:tabs>
        <w:ind w:left="6840" w:hanging="360"/>
      </w:pPr>
      <w:rPr>
        <w:rFonts w:ascii="Arial" w:hAnsi="Arial" w:hint="default"/>
      </w:rPr>
    </w:lvl>
  </w:abstractNum>
  <w:abstractNum w:abstractNumId="1">
    <w:nsid w:val="165A3DC3"/>
    <w:multiLevelType w:val="hybridMultilevel"/>
    <w:tmpl w:val="30D0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26BE2"/>
    <w:multiLevelType w:val="multilevel"/>
    <w:tmpl w:val="2968F32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376A2035"/>
    <w:multiLevelType w:val="hybridMultilevel"/>
    <w:tmpl w:val="4252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A245C"/>
    <w:multiLevelType w:val="hybridMultilevel"/>
    <w:tmpl w:val="4CA25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B904B0"/>
    <w:multiLevelType w:val="hybridMultilevel"/>
    <w:tmpl w:val="F40CFF88"/>
    <w:lvl w:ilvl="0" w:tplc="DD3CEBF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1D019B4">
      <w:start w:val="1"/>
      <w:numFmt w:val="bullet"/>
      <w:lvlText w:val="•"/>
      <w:lvlJc w:val="left"/>
      <w:pPr>
        <w:tabs>
          <w:tab w:val="num" w:pos="2160"/>
        </w:tabs>
        <w:ind w:left="2160" w:hanging="360"/>
      </w:pPr>
      <w:rPr>
        <w:rFonts w:ascii="Arial" w:hAnsi="Arial" w:hint="default"/>
      </w:rPr>
    </w:lvl>
    <w:lvl w:ilvl="3" w:tplc="85DEF46E">
      <w:start w:val="1"/>
      <w:numFmt w:val="bullet"/>
      <w:lvlText w:val="•"/>
      <w:lvlJc w:val="left"/>
      <w:pPr>
        <w:tabs>
          <w:tab w:val="num" w:pos="2880"/>
        </w:tabs>
        <w:ind w:left="2880" w:hanging="360"/>
      </w:pPr>
      <w:rPr>
        <w:rFonts w:ascii="Arial" w:hAnsi="Arial" w:hint="default"/>
      </w:rPr>
    </w:lvl>
    <w:lvl w:ilvl="4" w:tplc="C4D4715C" w:tentative="1">
      <w:start w:val="1"/>
      <w:numFmt w:val="bullet"/>
      <w:lvlText w:val="•"/>
      <w:lvlJc w:val="left"/>
      <w:pPr>
        <w:tabs>
          <w:tab w:val="num" w:pos="3600"/>
        </w:tabs>
        <w:ind w:left="3600" w:hanging="360"/>
      </w:pPr>
      <w:rPr>
        <w:rFonts w:ascii="Arial" w:hAnsi="Arial" w:hint="default"/>
      </w:rPr>
    </w:lvl>
    <w:lvl w:ilvl="5" w:tplc="39886A20" w:tentative="1">
      <w:start w:val="1"/>
      <w:numFmt w:val="bullet"/>
      <w:lvlText w:val="•"/>
      <w:lvlJc w:val="left"/>
      <w:pPr>
        <w:tabs>
          <w:tab w:val="num" w:pos="4320"/>
        </w:tabs>
        <w:ind w:left="4320" w:hanging="360"/>
      </w:pPr>
      <w:rPr>
        <w:rFonts w:ascii="Arial" w:hAnsi="Arial" w:hint="default"/>
      </w:rPr>
    </w:lvl>
    <w:lvl w:ilvl="6" w:tplc="B2B69DB6" w:tentative="1">
      <w:start w:val="1"/>
      <w:numFmt w:val="bullet"/>
      <w:lvlText w:val="•"/>
      <w:lvlJc w:val="left"/>
      <w:pPr>
        <w:tabs>
          <w:tab w:val="num" w:pos="5040"/>
        </w:tabs>
        <w:ind w:left="5040" w:hanging="360"/>
      </w:pPr>
      <w:rPr>
        <w:rFonts w:ascii="Arial" w:hAnsi="Arial" w:hint="default"/>
      </w:rPr>
    </w:lvl>
    <w:lvl w:ilvl="7" w:tplc="B82628E8" w:tentative="1">
      <w:start w:val="1"/>
      <w:numFmt w:val="bullet"/>
      <w:lvlText w:val="•"/>
      <w:lvlJc w:val="left"/>
      <w:pPr>
        <w:tabs>
          <w:tab w:val="num" w:pos="5760"/>
        </w:tabs>
        <w:ind w:left="5760" w:hanging="360"/>
      </w:pPr>
      <w:rPr>
        <w:rFonts w:ascii="Arial" w:hAnsi="Arial" w:hint="default"/>
      </w:rPr>
    </w:lvl>
    <w:lvl w:ilvl="8" w:tplc="D7B6E902" w:tentative="1">
      <w:start w:val="1"/>
      <w:numFmt w:val="bullet"/>
      <w:lvlText w:val="•"/>
      <w:lvlJc w:val="left"/>
      <w:pPr>
        <w:tabs>
          <w:tab w:val="num" w:pos="6480"/>
        </w:tabs>
        <w:ind w:left="6480" w:hanging="360"/>
      </w:pPr>
      <w:rPr>
        <w:rFonts w:ascii="Arial" w:hAnsi="Arial" w:hint="default"/>
      </w:rPr>
    </w:lvl>
  </w:abstractNum>
  <w:abstractNum w:abstractNumId="6">
    <w:nsid w:val="5951337B"/>
    <w:multiLevelType w:val="multilevel"/>
    <w:tmpl w:val="5DF6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1B"/>
    <w:rsid w:val="000C66B7"/>
    <w:rsid w:val="000F200D"/>
    <w:rsid w:val="0010331B"/>
    <w:rsid w:val="002E5213"/>
    <w:rsid w:val="0042494F"/>
    <w:rsid w:val="0043157F"/>
    <w:rsid w:val="005001A7"/>
    <w:rsid w:val="005554FD"/>
    <w:rsid w:val="005A762E"/>
    <w:rsid w:val="006571A9"/>
    <w:rsid w:val="007866E7"/>
    <w:rsid w:val="00860446"/>
    <w:rsid w:val="00876D76"/>
    <w:rsid w:val="00A21BE2"/>
    <w:rsid w:val="00BC66BA"/>
    <w:rsid w:val="00C24774"/>
    <w:rsid w:val="00D3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9EA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1B"/>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7866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1B"/>
    <w:pPr>
      <w:ind w:left="720"/>
      <w:contextualSpacing/>
    </w:pPr>
  </w:style>
  <w:style w:type="table" w:styleId="TableGrid">
    <w:name w:val="Table Grid"/>
    <w:basedOn w:val="TableNormal"/>
    <w:uiPriority w:val="39"/>
    <w:unhideWhenUsed/>
    <w:rsid w:val="001033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31B"/>
    <w:rPr>
      <w:color w:val="0000FF" w:themeColor="hyperlink"/>
      <w:u w:val="single"/>
    </w:rPr>
  </w:style>
  <w:style w:type="character" w:customStyle="1" w:styleId="Heading2Char">
    <w:name w:val="Heading 2 Char"/>
    <w:basedOn w:val="DefaultParagraphFont"/>
    <w:link w:val="Heading2"/>
    <w:uiPriority w:val="9"/>
    <w:rsid w:val="007866E7"/>
    <w:rPr>
      <w:b/>
      <w:bCs/>
      <w:sz w:val="36"/>
      <w:szCs w:val="36"/>
      <w:lang w:eastAsia="en-US"/>
    </w:rPr>
  </w:style>
  <w:style w:type="character" w:styleId="Emphasis">
    <w:name w:val="Emphasis"/>
    <w:basedOn w:val="DefaultParagraphFont"/>
    <w:uiPriority w:val="20"/>
    <w:qFormat/>
    <w:rsid w:val="007866E7"/>
    <w:rPr>
      <w:i/>
      <w:iCs/>
    </w:rPr>
  </w:style>
  <w:style w:type="character" w:styleId="Strong">
    <w:name w:val="Strong"/>
    <w:basedOn w:val="DefaultParagraphFont"/>
    <w:uiPriority w:val="22"/>
    <w:qFormat/>
    <w:rsid w:val="007866E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1B"/>
    <w:pPr>
      <w:spacing w:after="200" w:line="276" w:lineRule="auto"/>
    </w:pPr>
    <w:rPr>
      <w:rFonts w:asciiTheme="minorHAnsi" w:eastAsiaTheme="minorHAnsi" w:hAnsiTheme="minorHAnsi" w:cstheme="minorBidi"/>
      <w:sz w:val="22"/>
      <w:szCs w:val="22"/>
      <w:lang w:eastAsia="en-US"/>
    </w:rPr>
  </w:style>
  <w:style w:type="paragraph" w:styleId="Heading2">
    <w:name w:val="heading 2"/>
    <w:basedOn w:val="Normal"/>
    <w:link w:val="Heading2Char"/>
    <w:uiPriority w:val="9"/>
    <w:qFormat/>
    <w:rsid w:val="007866E7"/>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1B"/>
    <w:pPr>
      <w:ind w:left="720"/>
      <w:contextualSpacing/>
    </w:pPr>
  </w:style>
  <w:style w:type="table" w:styleId="TableGrid">
    <w:name w:val="Table Grid"/>
    <w:basedOn w:val="TableNormal"/>
    <w:uiPriority w:val="39"/>
    <w:unhideWhenUsed/>
    <w:rsid w:val="001033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0331B"/>
    <w:rPr>
      <w:color w:val="0000FF" w:themeColor="hyperlink"/>
      <w:u w:val="single"/>
    </w:rPr>
  </w:style>
  <w:style w:type="character" w:customStyle="1" w:styleId="Heading2Char">
    <w:name w:val="Heading 2 Char"/>
    <w:basedOn w:val="DefaultParagraphFont"/>
    <w:link w:val="Heading2"/>
    <w:uiPriority w:val="9"/>
    <w:rsid w:val="007866E7"/>
    <w:rPr>
      <w:b/>
      <w:bCs/>
      <w:sz w:val="36"/>
      <w:szCs w:val="36"/>
      <w:lang w:eastAsia="en-US"/>
    </w:rPr>
  </w:style>
  <w:style w:type="character" w:styleId="Emphasis">
    <w:name w:val="Emphasis"/>
    <w:basedOn w:val="DefaultParagraphFont"/>
    <w:uiPriority w:val="20"/>
    <w:qFormat/>
    <w:rsid w:val="007866E7"/>
    <w:rPr>
      <w:i/>
      <w:iCs/>
    </w:rPr>
  </w:style>
  <w:style w:type="character" w:styleId="Strong">
    <w:name w:val="Strong"/>
    <w:basedOn w:val="DefaultParagraphFont"/>
    <w:uiPriority w:val="22"/>
    <w:qFormat/>
    <w:rsid w:val="007866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5979">
      <w:bodyDiv w:val="1"/>
      <w:marLeft w:val="0"/>
      <w:marRight w:val="0"/>
      <w:marTop w:val="0"/>
      <w:marBottom w:val="0"/>
      <w:divBdr>
        <w:top w:val="none" w:sz="0" w:space="0" w:color="auto"/>
        <w:left w:val="none" w:sz="0" w:space="0" w:color="auto"/>
        <w:bottom w:val="none" w:sz="0" w:space="0" w:color="auto"/>
        <w:right w:val="none" w:sz="0" w:space="0" w:color="auto"/>
      </w:divBdr>
    </w:div>
    <w:div w:id="855382811">
      <w:bodyDiv w:val="1"/>
      <w:marLeft w:val="0"/>
      <w:marRight w:val="0"/>
      <w:marTop w:val="0"/>
      <w:marBottom w:val="0"/>
      <w:divBdr>
        <w:top w:val="none" w:sz="0" w:space="0" w:color="auto"/>
        <w:left w:val="none" w:sz="0" w:space="0" w:color="auto"/>
        <w:bottom w:val="none" w:sz="0" w:space="0" w:color="auto"/>
        <w:right w:val="none" w:sz="0" w:space="0" w:color="auto"/>
      </w:divBdr>
    </w:div>
    <w:div w:id="1568761591">
      <w:bodyDiv w:val="1"/>
      <w:marLeft w:val="0"/>
      <w:marRight w:val="0"/>
      <w:marTop w:val="0"/>
      <w:marBottom w:val="0"/>
      <w:divBdr>
        <w:top w:val="none" w:sz="0" w:space="0" w:color="auto"/>
        <w:left w:val="none" w:sz="0" w:space="0" w:color="auto"/>
        <w:bottom w:val="none" w:sz="0" w:space="0" w:color="auto"/>
        <w:right w:val="none" w:sz="0" w:space="0" w:color="auto"/>
      </w:divBdr>
    </w:div>
    <w:div w:id="1709254471">
      <w:bodyDiv w:val="1"/>
      <w:marLeft w:val="0"/>
      <w:marRight w:val="0"/>
      <w:marTop w:val="0"/>
      <w:marBottom w:val="0"/>
      <w:divBdr>
        <w:top w:val="none" w:sz="0" w:space="0" w:color="auto"/>
        <w:left w:val="none" w:sz="0" w:space="0" w:color="auto"/>
        <w:bottom w:val="none" w:sz="0" w:space="0" w:color="auto"/>
        <w:right w:val="none" w:sz="0" w:space="0" w:color="auto"/>
      </w:divBdr>
    </w:div>
    <w:div w:id="2037924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ms.gov/files/document/03052020-medicare-covid-19-fact-shee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1606</Words>
  <Characters>9160</Characters>
  <Application>Microsoft Macintosh Word</Application>
  <DocSecurity>0</DocSecurity>
  <Lines>76</Lines>
  <Paragraphs>21</Paragraphs>
  <ScaleCrop>false</ScaleCrop>
  <Company>FEG</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Silbert</dc:creator>
  <cp:keywords/>
  <dc:description/>
  <cp:lastModifiedBy>David Silbert</cp:lastModifiedBy>
  <cp:revision>2</cp:revision>
  <dcterms:created xsi:type="dcterms:W3CDTF">2020-03-17T15:43:00Z</dcterms:created>
  <dcterms:modified xsi:type="dcterms:W3CDTF">2020-03-17T15:43:00Z</dcterms:modified>
</cp:coreProperties>
</file>